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32" w:rsidRPr="007B7E32" w:rsidRDefault="007B7E32" w:rsidP="007B7E32">
      <w:pPr>
        <w:pStyle w:val="Akapitzlist"/>
        <w:numPr>
          <w:ilvl w:val="0"/>
          <w:numId w:val="3"/>
        </w:numPr>
        <w:spacing w:after="240"/>
        <w:ind w:left="567" w:hanging="567"/>
      </w:pPr>
      <w:r w:rsidRPr="007B7E32">
        <w:rPr>
          <w:rFonts w:ascii="Arial" w:hAnsi="Arial" w:cs="Arial"/>
          <w:sz w:val="20"/>
          <w:szCs w:val="20"/>
        </w:rPr>
        <w:t>Wartości referencyjne oszczędności energii finalnej w budynkach jednorodzinnych</w:t>
      </w:r>
      <w:r w:rsidR="00727EC9">
        <w:rPr>
          <w:rFonts w:ascii="Arial" w:hAnsi="Arial" w:cs="Arial"/>
          <w:sz w:val="20"/>
          <w:szCs w:val="20"/>
        </w:rPr>
        <w:t>.</w:t>
      </w:r>
    </w:p>
    <w:p w:rsidR="00CD6B26" w:rsidRPr="00727EC9" w:rsidRDefault="007B7E32" w:rsidP="009E3947">
      <w:pPr>
        <w:pStyle w:val="Legenda"/>
        <w:keepNext/>
        <w:spacing w:after="0"/>
        <w:rPr>
          <w:rFonts w:ascii="Arial" w:hAnsi="Arial" w:cs="Arial"/>
          <w:i w:val="0"/>
          <w:color w:val="auto"/>
          <w:sz w:val="20"/>
          <w:szCs w:val="20"/>
        </w:rPr>
      </w:pPr>
      <w:r w:rsidRPr="00727EC9">
        <w:rPr>
          <w:rFonts w:ascii="Arial" w:hAnsi="Arial" w:cs="Arial"/>
          <w:i w:val="0"/>
          <w:color w:val="auto"/>
          <w:sz w:val="20"/>
          <w:szCs w:val="20"/>
        </w:rPr>
        <w:t>T</w:t>
      </w:r>
      <w:r w:rsidR="00CD6B26" w:rsidRPr="00727EC9">
        <w:rPr>
          <w:rFonts w:ascii="Arial" w:hAnsi="Arial" w:cs="Arial"/>
          <w:i w:val="0"/>
          <w:color w:val="auto"/>
          <w:sz w:val="20"/>
          <w:szCs w:val="20"/>
        </w:rPr>
        <w:t xml:space="preserve">abela </w:t>
      </w:r>
      <w:r w:rsidR="00CD6B26" w:rsidRPr="00727EC9">
        <w:rPr>
          <w:rFonts w:ascii="Arial" w:hAnsi="Arial" w:cs="Arial"/>
          <w:i w:val="0"/>
          <w:color w:val="auto"/>
          <w:sz w:val="20"/>
          <w:szCs w:val="20"/>
        </w:rPr>
        <w:fldChar w:fldCharType="begin"/>
      </w:r>
      <w:r w:rsidR="00CD6B26" w:rsidRPr="00727EC9">
        <w:rPr>
          <w:rFonts w:ascii="Arial" w:hAnsi="Arial" w:cs="Arial"/>
          <w:i w:val="0"/>
          <w:color w:val="auto"/>
          <w:sz w:val="20"/>
          <w:szCs w:val="20"/>
        </w:rPr>
        <w:instrText xml:space="preserve"> SEQ Tabela \* ARABIC </w:instrText>
      </w:r>
      <w:r w:rsidR="00CD6B26" w:rsidRPr="00727EC9">
        <w:rPr>
          <w:rFonts w:ascii="Arial" w:hAnsi="Arial" w:cs="Arial"/>
          <w:i w:val="0"/>
          <w:color w:val="auto"/>
          <w:sz w:val="20"/>
          <w:szCs w:val="20"/>
        </w:rPr>
        <w:fldChar w:fldCharType="separate"/>
      </w:r>
      <w:r w:rsidR="008A191B" w:rsidRPr="00727EC9">
        <w:rPr>
          <w:rFonts w:ascii="Arial" w:hAnsi="Arial" w:cs="Arial"/>
          <w:i w:val="0"/>
          <w:noProof/>
          <w:color w:val="auto"/>
          <w:sz w:val="20"/>
          <w:szCs w:val="20"/>
        </w:rPr>
        <w:t>1</w:t>
      </w:r>
      <w:r w:rsidR="00CD6B26" w:rsidRPr="00727EC9">
        <w:rPr>
          <w:rFonts w:ascii="Arial" w:hAnsi="Arial" w:cs="Arial"/>
          <w:i w:val="0"/>
          <w:color w:val="auto"/>
          <w:sz w:val="20"/>
          <w:szCs w:val="20"/>
        </w:rPr>
        <w:fldChar w:fldCharType="end"/>
      </w:r>
      <w:r w:rsidR="00CD6B26" w:rsidRPr="00727EC9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8A191B" w:rsidRPr="00727EC9">
        <w:rPr>
          <w:rFonts w:ascii="Arial" w:hAnsi="Arial" w:cs="Arial"/>
          <w:i w:val="0"/>
          <w:color w:val="auto"/>
          <w:sz w:val="20"/>
          <w:szCs w:val="20"/>
        </w:rPr>
        <w:t>Wartości referencyjne oszczędności energii finalnej w budynkach jednorodzinnych wraz z</w:t>
      </w:r>
      <w:r w:rsidR="00727EC9" w:rsidRPr="00727EC9">
        <w:rPr>
          <w:rFonts w:ascii="Arial" w:hAnsi="Arial" w:cs="Arial"/>
          <w:i w:val="0"/>
          <w:color w:val="auto"/>
          <w:sz w:val="20"/>
          <w:szCs w:val="20"/>
        </w:rPr>
        <w:t> </w:t>
      </w:r>
      <w:r w:rsidR="008A191B" w:rsidRPr="00727EC9">
        <w:rPr>
          <w:rFonts w:ascii="Arial" w:hAnsi="Arial" w:cs="Arial"/>
          <w:i w:val="0"/>
          <w:color w:val="auto"/>
          <w:sz w:val="20"/>
          <w:szCs w:val="20"/>
        </w:rPr>
        <w:t>planowaną wysokością dofinansowania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2173"/>
        <w:gridCol w:w="2175"/>
        <w:gridCol w:w="2173"/>
      </w:tblGrid>
      <w:tr w:rsidR="00CD6B26" w:rsidRPr="005A1AEF" w:rsidTr="009E3947">
        <w:trPr>
          <w:trHeight w:val="1072"/>
        </w:trPr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montowanego standardowego indywidualnego źródła ciepła </w:t>
            </w:r>
          </w:p>
        </w:tc>
        <w:tc>
          <w:tcPr>
            <w:tcW w:w="12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Rok budowy budynku 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referencyjna oszczędności energii finalnej wyrażona w tonach oleju ekwiwalentnego na rok </w:t>
            </w:r>
          </w:p>
        </w:tc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dofinansowania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woda/woda, sprężarkowa, napędzana elektrycznie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2,196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3 952,80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2,041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3 673,80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1,776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3 196,80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1,649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2 968,20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1,299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2 338,20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1,055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1 899,00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0,979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1 762,20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glikol/woda, sprężarkowa, napędzana elektrycznie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2,196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3 952,80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2,041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3 673,80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1,776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3 196,80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1,649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2 968,20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1,299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2 338,20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1,055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1 899,00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0,979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1 762,20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bezpośrednie odparowanie w gruncie / woda, sprężarkowa, napędzana elektrycznie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2,196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3 952,80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2,041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3 673,80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1,776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3 196,80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1,649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2 968,20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1,299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2 338,20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1,055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1 899,00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0,979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1 762,20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powietrze/woda, sprężarkowa, napędzana elektrycznie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2,059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3 706,20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1,914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3 445,20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1,665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2 997,00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1,546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2 782,80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1,218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2 192,40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0,989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1 780,20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0,918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1 652,40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Węzeł cieplny kompaktowy z obudową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0,59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1 062,00 zł </w:t>
            </w:r>
          </w:p>
        </w:tc>
        <w:bookmarkStart w:id="0" w:name="_GoBack"/>
        <w:bookmarkEnd w:id="0"/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0,549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988,20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0,477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858,60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0,443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797,40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0,349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628,20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0,283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509,40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0,263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473,40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Węzeł cieplny kompaktowy bez obudowy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0,568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1 022,40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0,528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950,40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0,459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826,20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0,426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766,80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0,336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604,80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0,273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491,40 zł </w:t>
            </w:r>
          </w:p>
        </w:tc>
      </w:tr>
      <w:tr w:rsidR="00CD6B26" w:rsidRPr="005A1AEF" w:rsidTr="009E3947">
        <w:trPr>
          <w:trHeight w:val="227"/>
        </w:trPr>
        <w:tc>
          <w:tcPr>
            <w:tcW w:w="13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0,253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C7" w:rsidRPr="005A1AEF" w:rsidRDefault="007D7EC7" w:rsidP="007D7E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455,40 zł </w:t>
            </w:r>
          </w:p>
        </w:tc>
      </w:tr>
    </w:tbl>
    <w:p w:rsidR="007D7EC7" w:rsidRPr="005A1AEF" w:rsidRDefault="007D7EC7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A191B" w:rsidRPr="005A1AEF" w:rsidRDefault="008A191B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A191B" w:rsidRDefault="008A191B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B7E32" w:rsidRDefault="007B7E32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B7E32" w:rsidRPr="005A1AEF" w:rsidRDefault="007B7E32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B7E32" w:rsidRPr="007B7E32" w:rsidRDefault="007B7E32" w:rsidP="007B7E32">
      <w:pPr>
        <w:pStyle w:val="Akapitzlist"/>
        <w:numPr>
          <w:ilvl w:val="0"/>
          <w:numId w:val="3"/>
        </w:numPr>
        <w:spacing w:after="240"/>
        <w:ind w:left="567" w:hanging="567"/>
      </w:pPr>
      <w:r w:rsidRPr="007B7E32">
        <w:rPr>
          <w:rFonts w:ascii="Arial" w:hAnsi="Arial" w:cs="Arial"/>
          <w:sz w:val="20"/>
          <w:szCs w:val="20"/>
        </w:rPr>
        <w:lastRenderedPageBreak/>
        <w:t>Wartości referencyjne oszczędności energii finalnej w budownictwie wielomieszkaniowym</w:t>
      </w:r>
    </w:p>
    <w:p w:rsidR="007B7E32" w:rsidRDefault="007B7E32" w:rsidP="007B7E32">
      <w:pPr>
        <w:spacing w:after="24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7B7E32">
        <w:rPr>
          <w:rStyle w:val="fontstyle01"/>
          <w:rFonts w:ascii="Arial" w:hAnsi="Arial" w:cs="Arial"/>
        </w:rPr>
        <w:t>Wartość referencyjną oszczędności energii finalnej dla przedsięwzięcia służącego poprawie efektywności energetycznej polegającego na wymianie standardowego źródła ciepła w budynkach mieszkalnych, oznaczoną symbolem „</w:t>
      </w:r>
      <w:r w:rsidRPr="007B7E32">
        <w:rPr>
          <w:rStyle w:val="fontstyle21"/>
          <w:rFonts w:ascii="Cambria Math" w:hAnsi="Cambria Math" w:cs="Cambria Math"/>
        </w:rPr>
        <w:t>𝑅𝑊</w:t>
      </w:r>
      <w:r w:rsidRPr="007B7E32">
        <w:rPr>
          <w:rStyle w:val="fontstyle01"/>
          <w:rFonts w:ascii="Arial" w:hAnsi="Arial" w:cs="Arial"/>
        </w:rPr>
        <w:t>”, oblicza się według wzoru:</w:t>
      </w:r>
    </w:p>
    <w:p w:rsidR="007B7E32" w:rsidRDefault="007B7E32" w:rsidP="007B7E32">
      <w:pPr>
        <w:spacing w:after="240"/>
        <w:jc w:val="center"/>
        <w:rPr>
          <w:rStyle w:val="fontstyle21"/>
          <w:sz w:val="14"/>
          <w:szCs w:val="14"/>
        </w:rPr>
      </w:pPr>
      <w:r w:rsidRPr="007B7E32">
        <w:rPr>
          <w:rStyle w:val="fontstyle21"/>
          <w:rFonts w:ascii="Cambria Math" w:hAnsi="Cambria Math" w:cs="Cambria Math"/>
        </w:rPr>
        <w:t>𝑅</w:t>
      </w:r>
      <w:r w:rsidRPr="007B7E32">
        <w:rPr>
          <w:rStyle w:val="fontstyle21"/>
          <w:rFonts w:ascii="Cambria Math" w:hAnsi="Cambria Math" w:cs="Cambria Math"/>
          <w:sz w:val="14"/>
          <w:szCs w:val="14"/>
        </w:rPr>
        <w:t>𝑊</w:t>
      </w:r>
      <w:r w:rsidRPr="007B7E32">
        <w:rPr>
          <w:rStyle w:val="fontstyle21"/>
          <w:sz w:val="14"/>
          <w:szCs w:val="14"/>
        </w:rPr>
        <w:t xml:space="preserve"> </w:t>
      </w:r>
      <w:r>
        <w:rPr>
          <w:rStyle w:val="fontstyle21"/>
        </w:rPr>
        <w:t xml:space="preserve">= </w:t>
      </w:r>
      <w:r w:rsidRPr="007B7E32">
        <w:rPr>
          <w:rStyle w:val="fontstyle21"/>
          <w:rFonts w:ascii="Cambria Math" w:hAnsi="Cambria Math" w:cs="Cambria Math"/>
        </w:rPr>
        <w:t>𝐴</w:t>
      </w:r>
      <w:r w:rsidRPr="007B7E32">
        <w:rPr>
          <w:rStyle w:val="fontstyle21"/>
          <w:rFonts w:ascii="Cambria Math" w:hAnsi="Cambria Math" w:cs="Cambria Math"/>
          <w:sz w:val="14"/>
          <w:szCs w:val="14"/>
        </w:rPr>
        <w:t>𝑓</w:t>
      </w:r>
      <w:r w:rsidRPr="007B7E32">
        <w:rPr>
          <w:rStyle w:val="fontstyle21"/>
          <w:sz w:val="14"/>
          <w:szCs w:val="14"/>
        </w:rPr>
        <w:t xml:space="preserve"> </w:t>
      </w:r>
      <w:r>
        <w:rPr>
          <w:rStyle w:val="fontstyle21"/>
        </w:rPr>
        <w:t xml:space="preserve">× </w:t>
      </w:r>
      <w:r w:rsidRPr="007B7E32">
        <w:rPr>
          <w:rStyle w:val="fontstyle21"/>
          <w:rFonts w:ascii="Cambria Math" w:hAnsi="Cambria Math" w:cs="Cambria Math"/>
        </w:rPr>
        <w:t>𝑤</w:t>
      </w:r>
      <w:r w:rsidRPr="007B7E32">
        <w:rPr>
          <w:rStyle w:val="fontstyle21"/>
          <w:sz w:val="14"/>
          <w:szCs w:val="14"/>
          <w:vertAlign w:val="subscript"/>
        </w:rPr>
        <w:t>1</w:t>
      </w:r>
    </w:p>
    <w:p w:rsidR="007B7E32" w:rsidRPr="00727EC9" w:rsidRDefault="007B7E32" w:rsidP="007B7E32">
      <w:pPr>
        <w:jc w:val="both"/>
        <w:rPr>
          <w:rStyle w:val="fontstyle31"/>
          <w:rFonts w:ascii="Arial" w:hAnsi="Arial" w:cs="Arial"/>
          <w:i/>
        </w:rPr>
      </w:pPr>
      <w:r w:rsidRPr="00727EC9">
        <w:rPr>
          <w:rStyle w:val="fontstyle31"/>
          <w:rFonts w:ascii="Arial" w:hAnsi="Arial" w:cs="Arial"/>
          <w:i/>
        </w:rPr>
        <w:t>gdzie:</w:t>
      </w:r>
    </w:p>
    <w:p w:rsidR="00727EC9" w:rsidRDefault="007B7E32" w:rsidP="00727EC9">
      <w:pPr>
        <w:jc w:val="both"/>
        <w:rPr>
          <w:rStyle w:val="fontstyle01"/>
          <w:rFonts w:ascii="Arial" w:hAnsi="Arial" w:cs="Arial"/>
          <w:i/>
        </w:rPr>
      </w:pPr>
      <w:r w:rsidRPr="007B7E32">
        <w:rPr>
          <w:rStyle w:val="fontstyle21"/>
          <w:rFonts w:ascii="Cambria Math" w:hAnsi="Cambria Math" w:cs="Cambria Math"/>
        </w:rPr>
        <w:t>𝑅</w:t>
      </w:r>
      <w:r w:rsidRPr="00727EC9">
        <w:rPr>
          <w:rStyle w:val="fontstyle21"/>
          <w:rFonts w:ascii="Cambria Math" w:hAnsi="Cambria Math" w:cs="Cambria Math"/>
          <w:vertAlign w:val="subscript"/>
        </w:rPr>
        <w:t>𝑊</w:t>
      </w:r>
      <w:r w:rsidR="00727EC9">
        <w:rPr>
          <w:rStyle w:val="fontstyle21"/>
          <w:rFonts w:ascii="Arial" w:hAnsi="Arial" w:cs="Arial"/>
        </w:rPr>
        <w:t> </w:t>
      </w:r>
      <w:r w:rsidR="00727EC9">
        <w:rPr>
          <w:rStyle w:val="fontstyle01"/>
          <w:rFonts w:ascii="Arial" w:hAnsi="Arial" w:cs="Arial"/>
        </w:rPr>
        <w:t>– </w:t>
      </w:r>
      <w:r w:rsidRPr="007B7E32">
        <w:rPr>
          <w:rStyle w:val="fontstyle01"/>
          <w:rFonts w:ascii="Arial" w:hAnsi="Arial" w:cs="Arial"/>
          <w:i/>
        </w:rPr>
        <w:t xml:space="preserve">wartość referencyjną oszczędności energii finalnej, wyrażoną w </w:t>
      </w:r>
      <w:r w:rsidR="00727EC9">
        <w:rPr>
          <w:rStyle w:val="fontstyle01"/>
          <w:rFonts w:ascii="Arial" w:hAnsi="Arial" w:cs="Arial"/>
          <w:i/>
        </w:rPr>
        <w:t>toe</w:t>
      </w:r>
      <w:r w:rsidRPr="007B7E32">
        <w:rPr>
          <w:rStyle w:val="fontstyle01"/>
          <w:rFonts w:ascii="Arial" w:hAnsi="Arial" w:cs="Arial"/>
          <w:i/>
        </w:rPr>
        <w:t xml:space="preserve"> na rok,</w:t>
      </w:r>
    </w:p>
    <w:p w:rsidR="00727EC9" w:rsidRDefault="007B7E32" w:rsidP="00727EC9">
      <w:pPr>
        <w:jc w:val="both"/>
        <w:rPr>
          <w:rStyle w:val="fontstyle01"/>
          <w:rFonts w:ascii="Arial" w:hAnsi="Arial" w:cs="Arial"/>
          <w:i/>
        </w:rPr>
      </w:pPr>
      <w:r w:rsidRPr="007B7E32">
        <w:rPr>
          <w:rStyle w:val="fontstyle21"/>
          <w:rFonts w:ascii="Cambria Math" w:hAnsi="Cambria Math" w:cs="Cambria Math"/>
        </w:rPr>
        <w:t>𝐴</w:t>
      </w:r>
      <w:r w:rsidRPr="00727EC9">
        <w:rPr>
          <w:rStyle w:val="fontstyle21"/>
          <w:rFonts w:ascii="Cambria Math" w:hAnsi="Cambria Math" w:cs="Cambria Math"/>
          <w:vertAlign w:val="subscript"/>
        </w:rPr>
        <w:t>𝑓</w:t>
      </w:r>
      <w:r w:rsidRPr="007B7E32">
        <w:rPr>
          <w:rStyle w:val="fontstyle21"/>
          <w:rFonts w:ascii="Arial" w:hAnsi="Arial" w:cs="Arial"/>
        </w:rPr>
        <w:t xml:space="preserve"> </w:t>
      </w:r>
      <w:r w:rsidRPr="007B7E32">
        <w:rPr>
          <w:rStyle w:val="fontstyle01"/>
          <w:rFonts w:ascii="Arial" w:hAnsi="Arial" w:cs="Arial"/>
        </w:rPr>
        <w:t xml:space="preserve">– </w:t>
      </w:r>
      <w:r w:rsidRPr="007B7E32">
        <w:rPr>
          <w:rStyle w:val="fontstyle01"/>
          <w:rFonts w:ascii="Arial" w:hAnsi="Arial" w:cs="Arial"/>
          <w:i/>
        </w:rPr>
        <w:t>powierzchnię o regulowanej temperaturze powietrza w budynku mieszkalnym, wyrażoną w m</w:t>
      </w:r>
      <w:r w:rsidRPr="007B7E32">
        <w:rPr>
          <w:rStyle w:val="fontstyle01"/>
          <w:rFonts w:ascii="Arial" w:hAnsi="Arial" w:cs="Arial"/>
          <w:i/>
          <w:vertAlign w:val="superscript"/>
        </w:rPr>
        <w:t>2</w:t>
      </w:r>
      <w:r w:rsidRPr="007B7E32">
        <w:rPr>
          <w:rStyle w:val="fontstyle01"/>
          <w:rFonts w:ascii="Arial" w:hAnsi="Arial" w:cs="Arial"/>
          <w:i/>
        </w:rPr>
        <w:t>,</w:t>
      </w:r>
    </w:p>
    <w:p w:rsidR="007B7E32" w:rsidRPr="00727EC9" w:rsidRDefault="007B7E32" w:rsidP="00727EC9">
      <w:pPr>
        <w:spacing w:after="240"/>
        <w:ind w:left="426" w:hanging="426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B7E32">
        <w:rPr>
          <w:rStyle w:val="fontstyle21"/>
          <w:rFonts w:ascii="Cambria Math" w:hAnsi="Cambria Math" w:cs="Cambria Math"/>
        </w:rPr>
        <w:t>𝑤</w:t>
      </w:r>
      <w:r w:rsidRPr="007B7E32">
        <w:rPr>
          <w:rStyle w:val="fontstyle21"/>
          <w:rFonts w:ascii="Arial" w:hAnsi="Arial" w:cs="Arial"/>
          <w:vertAlign w:val="subscript"/>
        </w:rPr>
        <w:t>1</w:t>
      </w:r>
      <w:r w:rsidR="00727EC9">
        <w:rPr>
          <w:rStyle w:val="fontstyle21"/>
          <w:rFonts w:ascii="Arial" w:hAnsi="Arial" w:cs="Arial"/>
        </w:rPr>
        <w:t> </w:t>
      </w:r>
      <w:r w:rsidRPr="007B7E32">
        <w:rPr>
          <w:rStyle w:val="fontstyle01"/>
          <w:rFonts w:ascii="Arial" w:hAnsi="Arial" w:cs="Arial"/>
        </w:rPr>
        <w:t>–</w:t>
      </w:r>
      <w:r w:rsidR="00727EC9">
        <w:rPr>
          <w:rStyle w:val="fontstyle01"/>
          <w:rFonts w:ascii="Arial" w:hAnsi="Arial" w:cs="Arial"/>
        </w:rPr>
        <w:t> </w:t>
      </w:r>
      <w:r w:rsidRPr="007B7E32">
        <w:rPr>
          <w:rStyle w:val="fontstyle01"/>
          <w:rFonts w:ascii="Arial" w:hAnsi="Arial" w:cs="Arial"/>
          <w:i/>
        </w:rPr>
        <w:t>współczynnik oszczędności energii finalnej dla przedsięwzięcia polegającego na wymianie w</w:t>
      </w:r>
      <w:r w:rsidR="00727EC9">
        <w:rPr>
          <w:rStyle w:val="fontstyle01"/>
          <w:rFonts w:ascii="Arial" w:hAnsi="Arial" w:cs="Arial"/>
          <w:i/>
        </w:rPr>
        <w:t> </w:t>
      </w:r>
      <w:r w:rsidRPr="007B7E32">
        <w:rPr>
          <w:rStyle w:val="fontstyle01"/>
          <w:rFonts w:ascii="Arial" w:hAnsi="Arial" w:cs="Arial"/>
          <w:i/>
        </w:rPr>
        <w:t>budynku mieszkalnym źródła ciepła, wyrażony w tonach oleju ekwiwalentnego na m</w:t>
      </w:r>
      <w:r w:rsidRPr="007B7E32">
        <w:rPr>
          <w:rStyle w:val="fontstyle01"/>
          <w:rFonts w:ascii="Arial" w:hAnsi="Arial" w:cs="Arial"/>
          <w:i/>
          <w:vertAlign w:val="superscript"/>
        </w:rPr>
        <w:t>2</w:t>
      </w:r>
      <w:r w:rsidRPr="007B7E32">
        <w:rPr>
          <w:rStyle w:val="fontstyle01"/>
          <w:rFonts w:ascii="Arial" w:hAnsi="Arial" w:cs="Arial"/>
          <w:i/>
        </w:rPr>
        <w:t xml:space="preserve"> powierzchni ogrzewanej budynku mieszkalnego, którego wartość podano </w:t>
      </w:r>
      <w:r w:rsidR="00727EC9">
        <w:rPr>
          <w:rStyle w:val="fontstyle01"/>
          <w:rFonts w:ascii="Arial" w:hAnsi="Arial" w:cs="Arial"/>
          <w:i/>
        </w:rPr>
        <w:t>w T</w:t>
      </w:r>
      <w:r w:rsidRPr="007B7E32">
        <w:rPr>
          <w:rStyle w:val="fontstyle01"/>
          <w:rFonts w:ascii="Arial" w:hAnsi="Arial" w:cs="Arial"/>
          <w:i/>
        </w:rPr>
        <w:t>abeli 2.</w:t>
      </w:r>
    </w:p>
    <w:p w:rsidR="008A191B" w:rsidRPr="00727EC9" w:rsidRDefault="008A191B" w:rsidP="009E3947">
      <w:pPr>
        <w:pStyle w:val="Legenda"/>
        <w:keepNext/>
        <w:spacing w:after="0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727EC9">
        <w:rPr>
          <w:rFonts w:ascii="Arial" w:hAnsi="Arial" w:cs="Arial"/>
          <w:i w:val="0"/>
          <w:color w:val="auto"/>
          <w:sz w:val="20"/>
          <w:szCs w:val="20"/>
        </w:rPr>
        <w:t xml:space="preserve">Tabela </w:t>
      </w:r>
      <w:r w:rsidRPr="00727EC9">
        <w:rPr>
          <w:rFonts w:ascii="Arial" w:hAnsi="Arial" w:cs="Arial"/>
          <w:i w:val="0"/>
          <w:color w:val="auto"/>
          <w:sz w:val="20"/>
          <w:szCs w:val="20"/>
        </w:rPr>
        <w:fldChar w:fldCharType="begin"/>
      </w:r>
      <w:r w:rsidRPr="00727EC9">
        <w:rPr>
          <w:rFonts w:ascii="Arial" w:hAnsi="Arial" w:cs="Arial"/>
          <w:i w:val="0"/>
          <w:color w:val="auto"/>
          <w:sz w:val="20"/>
          <w:szCs w:val="20"/>
        </w:rPr>
        <w:instrText xml:space="preserve"> SEQ Tabela \* ARABIC </w:instrText>
      </w:r>
      <w:r w:rsidRPr="00727EC9">
        <w:rPr>
          <w:rFonts w:ascii="Arial" w:hAnsi="Arial" w:cs="Arial"/>
          <w:i w:val="0"/>
          <w:color w:val="auto"/>
          <w:sz w:val="20"/>
          <w:szCs w:val="20"/>
        </w:rPr>
        <w:fldChar w:fldCharType="separate"/>
      </w:r>
      <w:r w:rsidRPr="00727EC9">
        <w:rPr>
          <w:rFonts w:ascii="Arial" w:hAnsi="Arial" w:cs="Arial"/>
          <w:i w:val="0"/>
          <w:color w:val="auto"/>
          <w:sz w:val="20"/>
          <w:szCs w:val="20"/>
        </w:rPr>
        <w:t>2</w:t>
      </w:r>
      <w:r w:rsidRPr="00727EC9">
        <w:rPr>
          <w:rFonts w:ascii="Arial" w:hAnsi="Arial" w:cs="Arial"/>
          <w:i w:val="0"/>
          <w:color w:val="auto"/>
          <w:sz w:val="20"/>
          <w:szCs w:val="20"/>
        </w:rPr>
        <w:fldChar w:fldCharType="end"/>
      </w:r>
      <w:r w:rsidRPr="00727EC9">
        <w:rPr>
          <w:rFonts w:ascii="Arial" w:hAnsi="Arial" w:cs="Arial"/>
          <w:i w:val="0"/>
          <w:color w:val="auto"/>
          <w:sz w:val="20"/>
          <w:szCs w:val="20"/>
        </w:rPr>
        <w:t xml:space="preserve"> Wartości współczynnika oszczędności energii finalnej w</w:t>
      </w:r>
      <w:r w:rsidRPr="00727EC9">
        <w:rPr>
          <w:rFonts w:ascii="Arial" w:hAnsi="Arial" w:cs="Arial"/>
          <w:i w:val="0"/>
          <w:color w:val="auto"/>
          <w:sz w:val="20"/>
          <w:szCs w:val="20"/>
          <w:vertAlign w:val="subscript"/>
        </w:rPr>
        <w:t>1</w:t>
      </w:r>
      <w:r w:rsidRPr="00727EC9">
        <w:rPr>
          <w:rFonts w:ascii="Arial" w:hAnsi="Arial" w:cs="Arial"/>
          <w:i w:val="0"/>
          <w:color w:val="auto"/>
          <w:sz w:val="20"/>
          <w:szCs w:val="20"/>
        </w:rPr>
        <w:t xml:space="preserve"> dla przedsięwzięć polegających na wymianie źródła ciepła w budynkach mieszkalnych – w po</w:t>
      </w:r>
      <w:r w:rsidR="009F7BD9" w:rsidRPr="00727EC9">
        <w:rPr>
          <w:rFonts w:ascii="Arial" w:hAnsi="Arial" w:cs="Arial"/>
          <w:i w:val="0"/>
          <w:color w:val="auto"/>
          <w:sz w:val="20"/>
          <w:szCs w:val="20"/>
        </w:rPr>
        <w:t>dziale na rodzaje źródeł ciepła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4830"/>
      </w:tblGrid>
      <w:tr w:rsidR="008A191B" w:rsidRPr="005A1AEF" w:rsidTr="00727EC9">
        <w:trPr>
          <w:trHeight w:val="968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montowanego źródła ciepła 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Rok budowy budynku 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Współczynnik oszczędności energii finalnej dla przedsięwzięcia polegającego na wymianie w budynku mieszkalnym źródła ciepła, wyrażony w tonach oleju ekwiwalentnego na m</w:t>
            </w: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A1AE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A1A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powierzchni ogrzewanej budynku mieszkalnego 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woda/woda, sprężarkowa, napędzana elektrycznie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0,01474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0,01370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0,01192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0,01107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0,00872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0,00708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0,00657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glikol/woda, sprężarkowa, napędzana elektrycznie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0,01474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0,01370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0,01192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0,01107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0,00872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0,00708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0,00657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bezpośrednie odparowanie w gruncie / woda, sprężarkowa, napędzana elektrycznie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0,01474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0,01370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0,01192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0,01107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0,00872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0,00708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0,00657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Pompa ciepła typu powietrze/woda, sprężarkowa, napędzana elektrycznie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0,01382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0,01285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0,01118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0,01038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0,00818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0,00664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0,00616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Węzeł cieplny kompaktowy z obudową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0,00396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0,00368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0,00320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0,00297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0,00234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0,00190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0,00177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Węzeł cieplny kompaktowy bez obudowy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 1971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0,00381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1971 – 1978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0,00354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1979 – 1988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0,00308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1989 – 2002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0,00286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2003 – 2007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0,00226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2008 –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0,00183</w:t>
            </w:r>
          </w:p>
        </w:tc>
      </w:tr>
      <w:tr w:rsidR="008A191B" w:rsidRPr="005A1AEF" w:rsidTr="00727EC9">
        <w:trPr>
          <w:trHeight w:val="227"/>
        </w:trPr>
        <w:tc>
          <w:tcPr>
            <w:tcW w:w="2405" w:type="dxa"/>
            <w:vMerge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8A191B" w:rsidRPr="005A1AEF" w:rsidRDefault="008A191B" w:rsidP="008A191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 2011</w:t>
            </w:r>
          </w:p>
        </w:tc>
        <w:tc>
          <w:tcPr>
            <w:tcW w:w="4830" w:type="dxa"/>
            <w:shd w:val="clear" w:color="auto" w:fill="auto"/>
            <w:vAlign w:val="center"/>
            <w:hideMark/>
          </w:tcPr>
          <w:p w:rsidR="008A191B" w:rsidRPr="005A1AEF" w:rsidRDefault="008A191B" w:rsidP="009E39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0,0017</w:t>
            </w:r>
            <w:r w:rsidR="009F7BD9" w:rsidRPr="005A1AE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8A191B" w:rsidRPr="005A1AEF" w:rsidRDefault="008A191B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A191B" w:rsidRPr="005A1AEF" w:rsidSect="00050CA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C0" w:rsidRDefault="009336C0" w:rsidP="00A13FFE">
      <w:r>
        <w:separator/>
      </w:r>
    </w:p>
  </w:endnote>
  <w:endnote w:type="continuationSeparator" w:id="0">
    <w:p w:rsidR="009336C0" w:rsidRDefault="009336C0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20928"/>
      <w:docPartObj>
        <w:docPartGallery w:val="Page Numbers (Bottom of Page)"/>
        <w:docPartUnique/>
      </w:docPartObj>
    </w:sdtPr>
    <w:sdtContent>
      <w:p w:rsidR="0047131E" w:rsidRDefault="00471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131E" w:rsidRDefault="00471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C0" w:rsidRDefault="009336C0" w:rsidP="00A13FFE">
      <w:r>
        <w:separator/>
      </w:r>
    </w:p>
  </w:footnote>
  <w:footnote w:type="continuationSeparator" w:id="0">
    <w:p w:rsidR="009336C0" w:rsidRDefault="009336C0" w:rsidP="00A1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E" w:rsidRPr="007B7E32" w:rsidRDefault="00025FD4" w:rsidP="007B7E32">
    <w:pPr>
      <w:pStyle w:val="Nagwek"/>
      <w:rPr>
        <w:rFonts w:ascii="Arial" w:hAnsi="Arial" w:cs="Arial"/>
        <w:color w:val="000000" w:themeColor="text1"/>
        <w:sz w:val="22"/>
      </w:rPr>
    </w:pPr>
    <w:r w:rsidRPr="005A1AEF">
      <w:rPr>
        <w:rFonts w:ascii="Arial" w:hAnsi="Arial" w:cs="Arial"/>
        <w:color w:val="000000" w:themeColor="text1"/>
        <w:sz w:val="22"/>
      </w:rPr>
      <w:t xml:space="preserve">Załącznik nr 1 do Regulaminu – </w:t>
    </w:r>
    <w:r w:rsidR="007B7E32" w:rsidRPr="007B7E32">
      <w:rPr>
        <w:rFonts w:ascii="Arial" w:hAnsi="Arial" w:cs="Arial"/>
        <w:color w:val="000000" w:themeColor="text1"/>
        <w:sz w:val="22"/>
      </w:rPr>
      <w:t>Wartości referencyjne oszczędności energii finalnej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F632F"/>
    <w:multiLevelType w:val="hybridMultilevel"/>
    <w:tmpl w:val="F788BDD4"/>
    <w:lvl w:ilvl="0" w:tplc="FF621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0"/>
    <w:rsid w:val="00025FD4"/>
    <w:rsid w:val="00050CA5"/>
    <w:rsid w:val="000D3E27"/>
    <w:rsid w:val="0011440D"/>
    <w:rsid w:val="001C2A2A"/>
    <w:rsid w:val="002611A4"/>
    <w:rsid w:val="003224EF"/>
    <w:rsid w:val="003D7ED5"/>
    <w:rsid w:val="0047131E"/>
    <w:rsid w:val="00490D7D"/>
    <w:rsid w:val="0050255E"/>
    <w:rsid w:val="00572046"/>
    <w:rsid w:val="005978B8"/>
    <w:rsid w:val="005A1AEF"/>
    <w:rsid w:val="005D6412"/>
    <w:rsid w:val="00690BC8"/>
    <w:rsid w:val="006E61D6"/>
    <w:rsid w:val="00727EC9"/>
    <w:rsid w:val="007B5E34"/>
    <w:rsid w:val="007B7E32"/>
    <w:rsid w:val="007D7EC7"/>
    <w:rsid w:val="0081231B"/>
    <w:rsid w:val="008A191B"/>
    <w:rsid w:val="008A4F69"/>
    <w:rsid w:val="009336C0"/>
    <w:rsid w:val="009E3947"/>
    <w:rsid w:val="009F7BD9"/>
    <w:rsid w:val="00A13FFE"/>
    <w:rsid w:val="00A42A5E"/>
    <w:rsid w:val="00A73FE0"/>
    <w:rsid w:val="00B6217E"/>
    <w:rsid w:val="00B9410C"/>
    <w:rsid w:val="00BF168B"/>
    <w:rsid w:val="00C35AC3"/>
    <w:rsid w:val="00CC3AD8"/>
    <w:rsid w:val="00CD6B26"/>
    <w:rsid w:val="00CE453C"/>
    <w:rsid w:val="00D27D93"/>
    <w:rsid w:val="00DE1E32"/>
    <w:rsid w:val="00E36783"/>
    <w:rsid w:val="00E736A9"/>
    <w:rsid w:val="00F46588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F06427-7C6E-4460-A197-D09632A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12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E3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5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5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53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CD6B2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omylnaczcionkaakapitu"/>
    <w:rsid w:val="007B7E3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7B7E32"/>
    <w:rPr>
      <w:rFonts w:ascii="CambriaMath" w:hAnsi="CambriaMat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7B7E32"/>
    <w:rPr>
      <w:rFonts w:ascii="Times" w:hAnsi="Times" w:cs="Time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9692-0C00-4CA4-AC51-52F5425F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Bartosiewicz</dc:creator>
  <cp:keywords/>
  <dc:description/>
  <cp:lastModifiedBy>Krasiński Emil</cp:lastModifiedBy>
  <cp:revision>2</cp:revision>
  <cp:lastPrinted>2021-12-09T10:27:00Z</cp:lastPrinted>
  <dcterms:created xsi:type="dcterms:W3CDTF">2023-11-27T09:32:00Z</dcterms:created>
  <dcterms:modified xsi:type="dcterms:W3CDTF">2023-11-27T09:32:00Z</dcterms:modified>
</cp:coreProperties>
</file>