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2AAD5" w14:textId="6D06610C" w:rsidR="000A63ED" w:rsidRPr="00736382" w:rsidRDefault="00E21B0C" w:rsidP="00736382">
      <w:pPr>
        <w:spacing w:line="360" w:lineRule="auto"/>
        <w:rPr>
          <w:rFonts w:ascii="Times New Roman" w:hAnsi="Times New Roman" w:cs="Times New Roman"/>
          <w:b/>
          <w:bCs/>
          <w:sz w:val="22"/>
          <w:szCs w:val="22"/>
        </w:rPr>
      </w:pPr>
      <w:r w:rsidRPr="00736382">
        <w:rPr>
          <w:rFonts w:ascii="Times New Roman" w:hAnsi="Times New Roman" w:cs="Times New Roman"/>
          <w:b/>
          <w:bCs/>
          <w:sz w:val="22"/>
          <w:szCs w:val="22"/>
        </w:rPr>
        <w:t>Załącznik nr 1</w:t>
      </w:r>
      <w:r w:rsidR="00E92F80">
        <w:rPr>
          <w:rFonts w:ascii="Times New Roman" w:hAnsi="Times New Roman" w:cs="Times New Roman"/>
          <w:b/>
          <w:bCs/>
          <w:sz w:val="22"/>
          <w:szCs w:val="22"/>
        </w:rPr>
        <w:t>1</w:t>
      </w:r>
      <w:r w:rsidR="00C94C9F" w:rsidRPr="00736382">
        <w:rPr>
          <w:rFonts w:ascii="Times New Roman" w:hAnsi="Times New Roman" w:cs="Times New Roman"/>
          <w:b/>
          <w:bCs/>
          <w:sz w:val="22"/>
          <w:szCs w:val="22"/>
        </w:rPr>
        <w:t xml:space="preserve"> do Umowy: </w:t>
      </w:r>
      <w:r w:rsidR="00E92F80" w:rsidRPr="00E92F80">
        <w:rPr>
          <w:rFonts w:ascii="Times New Roman" w:hAnsi="Times New Roman" w:cs="Times New Roman"/>
          <w:b/>
          <w:bCs/>
          <w:sz w:val="22"/>
          <w:szCs w:val="22"/>
        </w:rPr>
        <w:t>Szczegółowe informacje dotyczące serwisowania</w:t>
      </w:r>
    </w:p>
    <w:p w14:paraId="6F434DE0" w14:textId="77777777" w:rsidR="00736382" w:rsidRPr="00E92F80" w:rsidRDefault="00736382" w:rsidP="00E92F80">
      <w:pPr>
        <w:spacing w:line="360" w:lineRule="auto"/>
        <w:rPr>
          <w:b/>
          <w:bCs/>
          <w:sz w:val="22"/>
          <w:szCs w:val="22"/>
        </w:rPr>
      </w:pPr>
    </w:p>
    <w:p w14:paraId="6F6D496F" w14:textId="22392D42" w:rsidR="00E92F80" w:rsidRPr="00F2133D" w:rsidRDefault="00E92F80" w:rsidP="00E92F80">
      <w:pPr>
        <w:pStyle w:val="Akapitzlist"/>
        <w:numPr>
          <w:ilvl w:val="0"/>
          <w:numId w:val="20"/>
        </w:numPr>
        <w:spacing w:line="360" w:lineRule="auto"/>
        <w:jc w:val="both"/>
        <w:rPr>
          <w:rFonts w:eastAsia="Arial"/>
          <w:color w:val="000000"/>
          <w:sz w:val="22"/>
          <w:szCs w:val="22"/>
          <w:lang w:eastAsia="pl-PL" w:bidi="pl-PL"/>
        </w:rPr>
      </w:pPr>
      <w:r w:rsidRPr="004B5341">
        <w:rPr>
          <w:rFonts w:eastAsia="Arial"/>
          <w:color w:val="000000"/>
          <w:sz w:val="22"/>
          <w:szCs w:val="22"/>
          <w:lang w:eastAsia="pl-PL" w:bidi="pl-PL"/>
        </w:rPr>
        <w:t>Wykonawca zobowiązuje się do świadczenia przeglądów serwisowych obiektów, sieci i urządzeń</w:t>
      </w:r>
      <w:r w:rsidRPr="003309E8">
        <w:rPr>
          <w:rFonts w:eastAsia="Arial"/>
          <w:color w:val="000000"/>
          <w:sz w:val="22"/>
          <w:szCs w:val="22"/>
          <w:lang w:eastAsia="pl-PL" w:bidi="pl-PL"/>
        </w:rPr>
        <w:t xml:space="preserve">, systemów i innych elementów wchodzących w zakres Przedmiotu Umowy </w:t>
      </w:r>
      <w:r w:rsidRPr="00F2133D">
        <w:rPr>
          <w:rFonts w:eastAsia="Arial"/>
          <w:color w:val="000000"/>
          <w:sz w:val="22"/>
          <w:szCs w:val="22"/>
          <w:lang w:eastAsia="pl-PL" w:bidi="pl-PL"/>
        </w:rPr>
        <w:t xml:space="preserve">minimum raz w roku, chyba że gwarancja producenta wymaga częstszych </w:t>
      </w:r>
      <w:r w:rsidRPr="00F2133D">
        <w:rPr>
          <w:rFonts w:eastAsia="Arial"/>
          <w:sz w:val="22"/>
          <w:szCs w:val="22"/>
        </w:rPr>
        <w:t xml:space="preserve">przeglądów gwarancyjnych - przez okres udzielonej gwarancji w ramach wynagrodzenia za wykonanie Przedmiotu Umowy. </w:t>
      </w:r>
    </w:p>
    <w:p w14:paraId="1EB25A80" w14:textId="068A0789" w:rsidR="00E92F80" w:rsidRPr="00F2133D" w:rsidRDefault="00E92F80" w:rsidP="00E92F80">
      <w:pPr>
        <w:pStyle w:val="Akapitzlist"/>
        <w:numPr>
          <w:ilvl w:val="0"/>
          <w:numId w:val="20"/>
        </w:numPr>
        <w:spacing w:line="360" w:lineRule="auto"/>
        <w:jc w:val="both"/>
        <w:rPr>
          <w:rFonts w:eastAsia="Arial"/>
          <w:color w:val="000000"/>
          <w:sz w:val="22"/>
          <w:szCs w:val="22"/>
          <w:lang w:eastAsia="pl-PL" w:bidi="pl-PL"/>
        </w:rPr>
      </w:pPr>
      <w:r w:rsidRPr="00F2133D">
        <w:rPr>
          <w:rFonts w:eastAsia="Arial"/>
          <w:sz w:val="22"/>
          <w:szCs w:val="22"/>
        </w:rPr>
        <w:t xml:space="preserve">Przeglądy serwisowe, o których mowa w </w:t>
      </w:r>
      <w:r>
        <w:rPr>
          <w:rFonts w:eastAsia="Arial"/>
          <w:sz w:val="22"/>
          <w:szCs w:val="22"/>
        </w:rPr>
        <w:t>ust. 1</w:t>
      </w:r>
      <w:r w:rsidRPr="00F2133D">
        <w:rPr>
          <w:rFonts w:eastAsia="Arial"/>
          <w:sz w:val="22"/>
          <w:szCs w:val="22"/>
        </w:rPr>
        <w:t xml:space="preserve"> nie dotyczą przeglądów kompletnej jednostki kogeneracji, które na odrębnie uzgodnionych zasadach między Stronami </w:t>
      </w:r>
      <w:proofErr w:type="spellStart"/>
      <w:r w:rsidRPr="00F2133D">
        <w:rPr>
          <w:rFonts w:eastAsia="Arial"/>
          <w:sz w:val="22"/>
          <w:szCs w:val="22"/>
        </w:rPr>
        <w:t>Enebiogaz</w:t>
      </w:r>
      <w:proofErr w:type="spellEnd"/>
      <w:r w:rsidRPr="00F2133D">
        <w:rPr>
          <w:rFonts w:eastAsia="Arial"/>
          <w:sz w:val="22"/>
          <w:szCs w:val="22"/>
        </w:rPr>
        <w:t xml:space="preserve"> 1 Sp. z o.o. może powierzyć Wykonawcy na okres gwarancji. </w:t>
      </w:r>
      <w:bookmarkStart w:id="0" w:name="_GoBack"/>
      <w:bookmarkEnd w:id="0"/>
    </w:p>
    <w:p w14:paraId="3B4695D9" w14:textId="77777777" w:rsidR="00E92F80" w:rsidRPr="00027D41" w:rsidRDefault="00E92F80" w:rsidP="00E92F80">
      <w:pPr>
        <w:pStyle w:val="Akapitzlist"/>
        <w:numPr>
          <w:ilvl w:val="0"/>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Wynagrodzenie za przeglądy serwisowe przez cały okres gwarancji udzielony przez Wykonawcę, obejmuje wszelkie koszty niezbędne do poniesienia, aby Zamawiający zachował uprawnienia z gwarancji producenta urządzenia.</w:t>
      </w:r>
    </w:p>
    <w:p w14:paraId="1DEF8C43" w14:textId="77777777" w:rsidR="00E92F80" w:rsidRPr="00027D41" w:rsidRDefault="00E92F80" w:rsidP="00E92F80">
      <w:pPr>
        <w:pStyle w:val="Akapitzlist"/>
        <w:numPr>
          <w:ilvl w:val="0"/>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Przeglądy będą potwierdzane protokołem podpisanym przez Wykonawcę oraz przedstawiciela Zamawiającego zawierającym w swojej treści wszelkie ustalenia poczynione w czasie serwisu. </w:t>
      </w:r>
    </w:p>
    <w:p w14:paraId="09E4A56F" w14:textId="77777777" w:rsidR="00E92F80" w:rsidRPr="00027D41" w:rsidRDefault="00E92F80" w:rsidP="00E92F80">
      <w:pPr>
        <w:pStyle w:val="Akapitzlist"/>
        <w:numPr>
          <w:ilvl w:val="0"/>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Po wykonaniu przeglądu serwisowego Wykonawca przedstawia Zamawiającemu pisemne zestawienie stwierdzonych wad oraz uzgadnia sposób ich usunięcia. Jeżeli usterki lub wady zostały stwierdzone                    w okresie rękojmi lub gwarancji </w:t>
      </w:r>
      <w:r>
        <w:rPr>
          <w:rFonts w:eastAsia="Arial"/>
          <w:color w:val="000000"/>
          <w:sz w:val="22"/>
          <w:szCs w:val="22"/>
          <w:lang w:eastAsia="pl-PL" w:bidi="pl-PL"/>
        </w:rPr>
        <w:t>W</w:t>
      </w:r>
      <w:r w:rsidRPr="00027D41">
        <w:rPr>
          <w:rFonts w:eastAsia="Arial"/>
          <w:color w:val="000000"/>
          <w:sz w:val="22"/>
          <w:szCs w:val="22"/>
          <w:lang w:eastAsia="pl-PL" w:bidi="pl-PL"/>
        </w:rPr>
        <w:t xml:space="preserve">ykonawcy usuwa je bezpłatnie. </w:t>
      </w:r>
    </w:p>
    <w:p w14:paraId="23AB448E" w14:textId="77777777" w:rsidR="00E92F80" w:rsidRPr="002B123C" w:rsidRDefault="00E92F80" w:rsidP="00E92F80">
      <w:pPr>
        <w:pStyle w:val="Akapitzlist"/>
        <w:numPr>
          <w:ilvl w:val="0"/>
          <w:numId w:val="20"/>
        </w:numPr>
        <w:spacing w:line="360" w:lineRule="auto"/>
        <w:jc w:val="both"/>
        <w:rPr>
          <w:rFonts w:eastAsia="Arial"/>
          <w:strike/>
          <w:sz w:val="22"/>
          <w:szCs w:val="22"/>
        </w:rPr>
      </w:pPr>
      <w:r w:rsidRPr="00027D41">
        <w:rPr>
          <w:rFonts w:eastAsia="Arial"/>
          <w:color w:val="000000"/>
          <w:sz w:val="22"/>
          <w:szCs w:val="22"/>
          <w:lang w:eastAsia="pl-PL" w:bidi="pl-PL"/>
        </w:rPr>
        <w:t xml:space="preserve">Wykonawca ponosi odpowiedzialność za prawidłowe wykonywanie okresowych przeglądów serwisowych na podstawie Umowy przed Zamawiającym nawet, jeżeli zleci wykonywanie przeglądów serwisowych Podwykonawcom. </w:t>
      </w:r>
    </w:p>
    <w:p w14:paraId="7C71BC05" w14:textId="77777777" w:rsidR="00E92F80" w:rsidRPr="00027D41" w:rsidRDefault="00E92F80" w:rsidP="00E92F80">
      <w:pPr>
        <w:pStyle w:val="Akapitzlist"/>
        <w:numPr>
          <w:ilvl w:val="0"/>
          <w:numId w:val="20"/>
        </w:numPr>
        <w:spacing w:line="360" w:lineRule="auto"/>
        <w:jc w:val="both"/>
        <w:rPr>
          <w:rFonts w:eastAsia="Arial"/>
          <w:color w:val="000000"/>
          <w:sz w:val="22"/>
        </w:rPr>
      </w:pPr>
      <w:r w:rsidRPr="00027D41">
        <w:rPr>
          <w:rFonts w:eastAsia="Arial"/>
          <w:color w:val="000000"/>
          <w:sz w:val="22"/>
        </w:rPr>
        <w:t>W przypadku powierzenia prac serwisowych jednostki kogeneracji Wykonawcy, warunki ich świadczenia będą oparte o następujące założenia:</w:t>
      </w:r>
    </w:p>
    <w:p w14:paraId="3247141D" w14:textId="77777777" w:rsidR="00E92F80" w:rsidRPr="00027D41" w:rsidRDefault="00E92F80" w:rsidP="00E92F80">
      <w:pPr>
        <w:pStyle w:val="Akapitzlist"/>
        <w:numPr>
          <w:ilvl w:val="1"/>
          <w:numId w:val="20"/>
        </w:numPr>
        <w:spacing w:line="360" w:lineRule="auto"/>
        <w:jc w:val="both"/>
        <w:rPr>
          <w:rFonts w:eastAsia="Arial"/>
          <w:color w:val="000000"/>
          <w:sz w:val="22"/>
        </w:rPr>
      </w:pPr>
      <w:r w:rsidRPr="00027D41">
        <w:rPr>
          <w:rFonts w:eastAsia="Arial"/>
          <w:color w:val="000000"/>
          <w:sz w:val="22"/>
        </w:rPr>
        <w:t xml:space="preserve">Szczegółowe warunki realizacji serwisu kompletnej jednostki kogeneracji w rozwiązaniu kontenerowym (CHP) oraz dostaw części zamiennych i eksploatacyjnych w okresie gwarancyjnym określa kosztorys i plan obsługi serwisowej w okresie gwarancyjnym zgodny z ofertą Wykonawcy wraz ze wszelkimi uzupełnieniami i wyjaśnieniami przedstawionymi w toku procesu negocjacji przed podpisaniem Umowy. Łączna wartość prac serwisowych przy założeniu pracy z dyspozycyjnością </w:t>
      </w:r>
      <w:r w:rsidRPr="00027D41">
        <w:rPr>
          <w:rFonts w:eastAsia="Arial"/>
          <w:color w:val="000000"/>
          <w:sz w:val="22"/>
          <w:szCs w:val="22"/>
          <w:lang w:eastAsia="pl-PL" w:bidi="pl-PL"/>
        </w:rPr>
        <w:t>……</w:t>
      </w:r>
      <w:r w:rsidRPr="00027D41">
        <w:rPr>
          <w:rFonts w:eastAsia="Arial"/>
          <w:color w:val="000000"/>
          <w:sz w:val="22"/>
        </w:rPr>
        <w:t xml:space="preserve"> </w:t>
      </w:r>
      <w:proofErr w:type="spellStart"/>
      <w:r w:rsidRPr="00027D41">
        <w:rPr>
          <w:rFonts w:eastAsia="Arial"/>
          <w:color w:val="000000"/>
          <w:sz w:val="22"/>
        </w:rPr>
        <w:t>mth</w:t>
      </w:r>
      <w:proofErr w:type="spellEnd"/>
      <w:r w:rsidRPr="00027D41">
        <w:rPr>
          <w:rFonts w:eastAsia="Arial"/>
          <w:color w:val="000000"/>
          <w:sz w:val="22"/>
        </w:rPr>
        <w:t xml:space="preserve"> średnio rocznie w okresie gwarancyjnym (wymagany parametr gwarantowany określony w SWZ i PFU zgodny z ofertą Wykonawcy, lecz o wartości średnio rocznej nie mniejszej niż 8000 </w:t>
      </w:r>
      <w:proofErr w:type="spellStart"/>
      <w:r w:rsidRPr="00027D41">
        <w:rPr>
          <w:rFonts w:eastAsia="Arial"/>
          <w:color w:val="000000"/>
          <w:sz w:val="22"/>
        </w:rPr>
        <w:t>mt</w:t>
      </w:r>
      <w:proofErr w:type="spellEnd"/>
      <w:r w:rsidRPr="00027D41">
        <w:rPr>
          <w:rFonts w:eastAsia="Arial"/>
          <w:color w:val="000000"/>
          <w:sz w:val="22"/>
        </w:rPr>
        <w:t xml:space="preserve">). </w:t>
      </w:r>
    </w:p>
    <w:p w14:paraId="6BDB5F98" w14:textId="77777777" w:rsidR="00E92F80" w:rsidRPr="00027D41" w:rsidRDefault="00E92F80" w:rsidP="00E92F80">
      <w:pPr>
        <w:pStyle w:val="Akapitzlist"/>
        <w:numPr>
          <w:ilvl w:val="1"/>
          <w:numId w:val="20"/>
        </w:numPr>
        <w:spacing w:line="360" w:lineRule="auto"/>
        <w:jc w:val="both"/>
        <w:rPr>
          <w:rFonts w:eastAsia="Arial"/>
          <w:color w:val="000000"/>
          <w:sz w:val="22"/>
        </w:rPr>
      </w:pPr>
      <w:r w:rsidRPr="00027D41">
        <w:rPr>
          <w:rFonts w:eastAsia="Arial"/>
          <w:color w:val="000000"/>
          <w:sz w:val="22"/>
        </w:rPr>
        <w:t xml:space="preserve">W przypadku pracy CHP w okresie gwarancyjnym średniorocznie krócej niż określono w ust. poprzednim, kwota należnego wynagrodzenia Wykonawcy za prace serwisowe będzie proporcjonalnie redukowana. </w:t>
      </w:r>
    </w:p>
    <w:p w14:paraId="59EF39DC" w14:textId="77777777" w:rsidR="00E92F80" w:rsidRPr="00027D41" w:rsidRDefault="00E92F80" w:rsidP="00E92F80">
      <w:pPr>
        <w:pStyle w:val="Akapitzlist"/>
        <w:numPr>
          <w:ilvl w:val="1"/>
          <w:numId w:val="20"/>
        </w:numPr>
        <w:spacing w:line="360" w:lineRule="auto"/>
        <w:jc w:val="both"/>
        <w:rPr>
          <w:rFonts w:eastAsia="Arial"/>
          <w:color w:val="000000"/>
          <w:sz w:val="22"/>
        </w:rPr>
      </w:pPr>
      <w:r w:rsidRPr="00027D41">
        <w:rPr>
          <w:rFonts w:eastAsia="Arial"/>
          <w:color w:val="000000"/>
          <w:sz w:val="22"/>
        </w:rPr>
        <w:t xml:space="preserve">Wykonawca oświadcza, że harmonogram ten zgodny jest z wymogami i harmonogramem producenta silnika gazowego i producentów pozostałych urządzeń składających się na kompletną jednostkę kogeneracji w zabudowie kontenerowej. </w:t>
      </w:r>
    </w:p>
    <w:p w14:paraId="498B9F7D" w14:textId="77777777" w:rsidR="00E92F80" w:rsidRPr="00027D41" w:rsidRDefault="00E92F80" w:rsidP="00E92F80">
      <w:pPr>
        <w:pStyle w:val="Akapitzlist"/>
        <w:numPr>
          <w:ilvl w:val="1"/>
          <w:numId w:val="20"/>
        </w:numPr>
        <w:spacing w:line="360" w:lineRule="auto"/>
        <w:jc w:val="both"/>
        <w:rPr>
          <w:rFonts w:eastAsia="Arial"/>
          <w:color w:val="000000"/>
          <w:sz w:val="22"/>
        </w:rPr>
      </w:pPr>
      <w:r>
        <w:rPr>
          <w:rFonts w:eastAsia="Arial"/>
          <w:color w:val="000000"/>
          <w:sz w:val="22"/>
        </w:rPr>
        <w:lastRenderedPageBreak/>
        <w:t>Wynagrodzenie za</w:t>
      </w:r>
      <w:r w:rsidRPr="00027D41">
        <w:rPr>
          <w:rFonts w:eastAsia="Arial"/>
          <w:color w:val="000000"/>
          <w:sz w:val="22"/>
        </w:rPr>
        <w:t xml:space="preserve"> świadczeni</w:t>
      </w:r>
      <w:r>
        <w:rPr>
          <w:rFonts w:eastAsia="Arial"/>
          <w:color w:val="000000"/>
          <w:sz w:val="22"/>
        </w:rPr>
        <w:t>e</w:t>
      </w:r>
      <w:r w:rsidRPr="00027D41">
        <w:rPr>
          <w:rFonts w:eastAsia="Arial"/>
          <w:color w:val="000000"/>
          <w:sz w:val="22"/>
        </w:rPr>
        <w:t xml:space="preserve"> usług serwisu w okresie gwarancyjnym obejmuje robociznę i dojazd, akomodację, płyny eksploatacyjne z olejem i jego badaniem, koszt części zamiennych, nadzór zdalny i wszystkie inne czynności niezbędne do prawidłowej pracy kompletnej jednostki kogeneracji zgodnej z kodeksami sieci (</w:t>
      </w:r>
      <w:proofErr w:type="spellStart"/>
      <w:r w:rsidRPr="00027D41">
        <w:rPr>
          <w:rFonts w:eastAsia="Arial"/>
          <w:color w:val="000000"/>
          <w:sz w:val="22"/>
        </w:rPr>
        <w:t>NCRfG</w:t>
      </w:r>
      <w:proofErr w:type="spellEnd"/>
      <w:r w:rsidRPr="00027D41">
        <w:rPr>
          <w:rFonts w:eastAsia="Arial"/>
          <w:color w:val="000000"/>
          <w:sz w:val="22"/>
        </w:rPr>
        <w:t xml:space="preserve">), wymogami producentów podzespołów, w szczególności silnika, turbosprężarki, generatora, DTR i koniecznej do osiągnięcia dyspozycyjności gwarantowanej. Płatność za usługę serwisową będzie dokonywana w terminie 21 dni od wystawienia i dostarczenia przez Wykonawcę faktury za czynności serwisowe wykonane przez Wykonawcę zgodnie z harmonogramem usług serwisowych przedstawionych w załączniku </w:t>
      </w:r>
      <w:r>
        <w:rPr>
          <w:rFonts w:eastAsia="Arial"/>
          <w:color w:val="000000"/>
          <w:sz w:val="22"/>
        </w:rPr>
        <w:t>nr 11.1</w:t>
      </w:r>
      <w:r w:rsidRPr="00027D41">
        <w:rPr>
          <w:rFonts w:eastAsia="Arial"/>
          <w:color w:val="000000"/>
          <w:sz w:val="22"/>
        </w:rPr>
        <w:t xml:space="preserve"> do Umowy.  </w:t>
      </w:r>
    </w:p>
    <w:p w14:paraId="0C724DD6"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rPr>
        <w:t>Wymiana oleju będzie wykonywana w okresach wynikających z danych uzyskiwanych na podstawie analiz oleju zużytego. Wykonawca będzie w ramach wynagrodzenia dokonywał analiz oleju smarnego, których wyniki będą każdorazowo przekazywane Zamawiającemu niezwłocznie (natychmiastowo po odczytaniu wiadomości z wynikami, lecz nie później niż w terminie 12 godzin od daty otrzymania wyniku analiz). Wyniki będą przekazywane na adresy mailowe określone w Umowie. Na podstawie otrzymanych wyników analiz oleju, dokonywana będzie jego wymiana przez Wykonawcę. Strony dopuszczają po uzgodnieniu między Stronami, aby wymiany dokonał personel Zamawiającego, po wcześniejszym przeszkoleniu przez Wykonawcę. W przypadku niejednoznacznych wyników analiz, ostateczną decyzję o konieczności wymiany oleju podejmuje Wykonawca. Wykonawca w ramach wynagrodzenia dokonywał</w:t>
      </w:r>
      <w:r w:rsidRPr="00027D41">
        <w:rPr>
          <w:rFonts w:eastAsia="Arial"/>
          <w:color w:val="000000"/>
          <w:sz w:val="22"/>
          <w:szCs w:val="22"/>
          <w:lang w:eastAsia="pl-PL" w:bidi="pl-PL"/>
        </w:rPr>
        <w:t xml:space="preserve"> będzie zakupu i dostawy oleju smarnego na biogazownię Zamawiającego, zgodnego z zaleceniami producenta silnika. </w:t>
      </w:r>
    </w:p>
    <w:p w14:paraId="1820D2E7"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Zamawiający będzie dokonywał kontroli świec zapłonowych, zgodnie z instrukcją producenta (w szczególności pomiar napięcia, czyszczenie, regulacja szczeliny).</w:t>
      </w:r>
    </w:p>
    <w:p w14:paraId="3E479852"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Zamawiający będzie na własny koszt dokonywał czynności obsługowych CHP, w tym niepowodujących wyłączenia CHP, w szczególności będzie dokonywał inspekcji wizualnej CHP, jeśli okoliczności będą tego wymagały, celem wykrycia w porę ewentualnego nieprawidłowego działania CHP, tak aby można było w miarę możliwości uniknąć usterek i/lub zbędnych przestojów, a także jeśli wymaga tego sytuacja, można było wezwać Wykonawcę na wczesnym etapie, tak aby ograniczyć i jeśli możliwe zapobiec dalszym przestojom; w szczególności Zamawiający będzie sprawdzał (a po uzgodnieniu między Stronami uzupełniał) poziom wszystkich płynów, tj. oleju, glikolu, smarów. </w:t>
      </w:r>
    </w:p>
    <w:p w14:paraId="5BAB68AA"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Wykonawca będzie wykonywał czynności obsługowe zalecone przez Wykonawcę w poleceniach pisemnych, w tym w raportach serwisowych. </w:t>
      </w:r>
    </w:p>
    <w:p w14:paraId="59DB2AA8"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Parametry pracy CHP, w szczególności ilość wyprodukowanej energii elektrycznej przez CHP, Zamawiający będzie systematycznie, nie rzadziej niż raz na 24 godziny, zapisywał w dzienniku eksploatacyjnym, będącym do wglądu Wykonawcy.  </w:t>
      </w:r>
    </w:p>
    <w:p w14:paraId="48005442"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Wykonawca wyraża zgodę, bez utraty dla Zamawiającego gwarancji, aby Zamawiający dokonywał czynności obsługowych CHP, w szczególności określonych w tej umowie (obsługa, nastawy, </w:t>
      </w:r>
      <w:r w:rsidRPr="00027D41">
        <w:rPr>
          <w:rFonts w:eastAsia="Arial"/>
          <w:color w:val="000000"/>
          <w:sz w:val="22"/>
          <w:szCs w:val="22"/>
          <w:lang w:eastAsia="pl-PL" w:bidi="pl-PL"/>
        </w:rPr>
        <w:lastRenderedPageBreak/>
        <w:t xml:space="preserve">wymiana oleju, pobieranie próbek oleju itp.). Przed dokonaniem czynności, o których mowa w zdaniu pierwszym, Strony uzgodnią te działania. </w:t>
      </w:r>
    </w:p>
    <w:p w14:paraId="4FAD5107"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Na wykonane czynności serwisowe w okresie gwarancyjnym, Wykonawca udziela gwarancji do czasu wykonania kolejnego przeglądu serwisowego okresowego. </w:t>
      </w:r>
    </w:p>
    <w:p w14:paraId="470A4658"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Na dostarczone przez Wykonawcę części zamienne i materiały eksploatacyjne w okresie gwarancyjnym, Wykonawca udziela gwarancji zgodnie z gwarancją producenta. </w:t>
      </w:r>
    </w:p>
    <w:p w14:paraId="70397EC6"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Niepoprawne wykonywanie przez Zamawiającego czynności, o których mowa w powyższych ustępach niniejszego paragrafu, bez zachowania należytej staranności lub ich niewykonywanie stanowi naruszenie warunków gwarancji, co może oznaczać utratę i wygaśnięcie gwarancji. </w:t>
      </w:r>
    </w:p>
    <w:p w14:paraId="68C165D7"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Zamawiający ma prawo powierzyć czynności serwisowe w okresie gwarancyjnym firmie innej niż Wykonawca na koszt Wykonawcy, gdy w okresie dłuższym niż 36 godzin od zgłoszenia awarii/usterki/wady przez Zamawiającego, powodującej wyłączenie/przestój CHP, Wykonawca nie podejmie czynności naprawczych i prób uruchomienia CHP, z zastrzeżeniem zlecenia przez Zamawiającego czynności serwisowej Producentowi lub jego autoryzowanemu przedstawicielowi. </w:t>
      </w:r>
      <w:r>
        <w:rPr>
          <w:rFonts w:eastAsia="Arial"/>
          <w:color w:val="000000"/>
          <w:sz w:val="22"/>
          <w:szCs w:val="22"/>
          <w:lang w:eastAsia="pl-PL" w:bidi="pl-PL"/>
        </w:rPr>
        <w:t>Postanowienia</w:t>
      </w:r>
      <w:r w:rsidRPr="00027D41">
        <w:rPr>
          <w:rFonts w:eastAsia="Arial"/>
          <w:color w:val="000000"/>
          <w:sz w:val="22"/>
          <w:szCs w:val="22"/>
          <w:lang w:eastAsia="pl-PL" w:bidi="pl-PL"/>
        </w:rPr>
        <w:t xml:space="preserve"> zdania pierwszego</w:t>
      </w:r>
      <w:r>
        <w:rPr>
          <w:rFonts w:eastAsia="Arial"/>
          <w:color w:val="000000"/>
          <w:sz w:val="22"/>
          <w:szCs w:val="22"/>
          <w:lang w:eastAsia="pl-PL" w:bidi="pl-PL"/>
        </w:rPr>
        <w:t xml:space="preserve"> nie mają zastosowania</w:t>
      </w:r>
      <w:r w:rsidRPr="00027D41">
        <w:rPr>
          <w:rFonts w:eastAsia="Arial"/>
          <w:color w:val="000000"/>
          <w:sz w:val="22"/>
          <w:szCs w:val="22"/>
          <w:lang w:eastAsia="pl-PL" w:bidi="pl-PL"/>
        </w:rPr>
        <w:t xml:space="preserve"> w przypadku wystąpienia poważnej awarii silnika CHP, której naprawa wymaga przetransportowania silnika CHP i naprawy w siedzibie producenta silnika. </w:t>
      </w:r>
    </w:p>
    <w:p w14:paraId="5E6CE94E"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W razie stwierdzenia przez Zamawiającego w okresie gwarancyjnym </w:t>
      </w:r>
      <w:r>
        <w:rPr>
          <w:rFonts w:eastAsia="Arial"/>
          <w:color w:val="000000"/>
          <w:sz w:val="22"/>
          <w:szCs w:val="22"/>
          <w:lang w:eastAsia="pl-PL" w:bidi="pl-PL"/>
        </w:rPr>
        <w:t>W</w:t>
      </w:r>
      <w:r w:rsidRPr="00027D41">
        <w:rPr>
          <w:rFonts w:eastAsia="Arial"/>
          <w:color w:val="000000"/>
          <w:sz w:val="22"/>
          <w:szCs w:val="22"/>
          <w:lang w:eastAsia="pl-PL" w:bidi="pl-PL"/>
        </w:rPr>
        <w:t xml:space="preserve">ady Przedmiotu Umowy, Zamawiający zobowiązany jest niezwłocznie powiadomić o tym Wykonawcę. </w:t>
      </w:r>
    </w:p>
    <w:p w14:paraId="133F4D60"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Czas reakcji serwisowej Wykonawcy ustala się na maksymalnie 24 godziny od momentu zgłoszeniu przez Zamawiającego awarii, wady,</w:t>
      </w:r>
      <w:r>
        <w:rPr>
          <w:rFonts w:eastAsia="Arial"/>
          <w:color w:val="000000"/>
          <w:sz w:val="22"/>
          <w:szCs w:val="22"/>
          <w:lang w:eastAsia="pl-PL" w:bidi="pl-PL"/>
        </w:rPr>
        <w:t xml:space="preserve"> usterki,</w:t>
      </w:r>
      <w:r w:rsidRPr="00027D41">
        <w:rPr>
          <w:rFonts w:eastAsia="Arial"/>
          <w:color w:val="000000"/>
          <w:sz w:val="22"/>
          <w:szCs w:val="22"/>
          <w:lang w:eastAsia="pl-PL" w:bidi="pl-PL"/>
        </w:rPr>
        <w:t xml:space="preserve"> błędu technicznego, powodujących wyłączenie/przestój CHP do przyjazdu na instalację i wykrycia </w:t>
      </w:r>
      <w:r>
        <w:rPr>
          <w:rFonts w:eastAsia="Arial"/>
          <w:color w:val="000000"/>
          <w:sz w:val="22"/>
          <w:szCs w:val="22"/>
          <w:lang w:eastAsia="pl-PL" w:bidi="pl-PL"/>
        </w:rPr>
        <w:t>awarii/wady/</w:t>
      </w:r>
      <w:r w:rsidRPr="00027D41">
        <w:rPr>
          <w:rFonts w:eastAsia="Arial"/>
          <w:color w:val="000000"/>
          <w:sz w:val="22"/>
          <w:szCs w:val="22"/>
          <w:lang w:eastAsia="pl-PL" w:bidi="pl-PL"/>
        </w:rPr>
        <w:t xml:space="preserve">usterki, względnie podjęcie działań w celu </w:t>
      </w:r>
      <w:r>
        <w:rPr>
          <w:rFonts w:eastAsia="Arial"/>
          <w:color w:val="000000"/>
          <w:sz w:val="22"/>
          <w:szCs w:val="22"/>
          <w:lang w:eastAsia="pl-PL" w:bidi="pl-PL"/>
        </w:rPr>
        <w:t xml:space="preserve">ich </w:t>
      </w:r>
      <w:r w:rsidRPr="00027D41">
        <w:rPr>
          <w:rFonts w:eastAsia="Arial"/>
          <w:color w:val="000000"/>
          <w:sz w:val="22"/>
          <w:szCs w:val="22"/>
          <w:lang w:eastAsia="pl-PL" w:bidi="pl-PL"/>
        </w:rPr>
        <w:t xml:space="preserve">wykrycia.  Dla </w:t>
      </w:r>
      <w:r>
        <w:rPr>
          <w:rFonts w:eastAsia="Arial"/>
          <w:color w:val="000000"/>
          <w:sz w:val="22"/>
          <w:szCs w:val="22"/>
          <w:lang w:eastAsia="pl-PL" w:bidi="pl-PL"/>
        </w:rPr>
        <w:t>uniknięcia</w:t>
      </w:r>
      <w:r w:rsidRPr="00027D41">
        <w:rPr>
          <w:rFonts w:eastAsia="Arial"/>
          <w:color w:val="000000"/>
          <w:sz w:val="22"/>
          <w:szCs w:val="22"/>
          <w:lang w:eastAsia="pl-PL" w:bidi="pl-PL"/>
        </w:rPr>
        <w:t xml:space="preserve"> wątpliwości Strony ustalają, że przez czas reakcji rozumie się czas od momentu zgłoszenia usterki do momentu przyjazdu personelu serwisowego Wykonawcy i podjęcia działań naprawczych. </w:t>
      </w:r>
    </w:p>
    <w:p w14:paraId="7E880EE6"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Zgłoszenie wraz z krótkim opisem usterki/awarii (podanie daty i godziny usterki/awarii, podanie numeru seryjnego CHP, liczbę przepracowanych </w:t>
      </w:r>
      <w:proofErr w:type="spellStart"/>
      <w:r w:rsidRPr="00027D41">
        <w:rPr>
          <w:rFonts w:eastAsia="Arial"/>
          <w:color w:val="000000"/>
          <w:sz w:val="22"/>
          <w:szCs w:val="22"/>
          <w:lang w:eastAsia="pl-PL" w:bidi="pl-PL"/>
        </w:rPr>
        <w:t>mth</w:t>
      </w:r>
      <w:proofErr w:type="spellEnd"/>
      <w:r w:rsidRPr="00027D41">
        <w:rPr>
          <w:rFonts w:eastAsia="Arial"/>
          <w:color w:val="000000"/>
          <w:sz w:val="22"/>
          <w:szCs w:val="22"/>
          <w:lang w:eastAsia="pl-PL" w:bidi="pl-PL"/>
        </w:rPr>
        <w:t xml:space="preserve"> CHP, krótki opis usterki) będzie odbywać się telefonicznie (połączenie lub SMS) na dwa podane przez Wykonawcę numery telefonów, oraz jednocześnie drogą mailową na dwa podane przez Wykonawcę adresy mailowe. Zgłoszenie powinno zostać wysłane niezwłocznie od czasu stwierdzenia wyłączenia awaryjnego CHP (w celu rozwiania wątpliwości Strony ustalają, iż maksymalny czas od momentu odnotowania awarii do momentu jej formalnego zgłoszenia to 2 godziny). </w:t>
      </w:r>
    </w:p>
    <w:p w14:paraId="44B08225"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W okresie gwarancji naprawy Przedmiotu Umowy będą wykonywane bezpłatnie przez serwis Wykonawcy lub Dystrybutora/Producenta. Dla rozwiania wątpliwości, usterki/awarie, które wystąpiły w okresie gwarancyjnym podlegają bezpłatnej naprawie także w przypadku, gdy naprawa w czasie wystąpi po upływie okresu gwarancyjnego.  Gwarancja nie obejmuje części zużywających </w:t>
      </w:r>
      <w:r w:rsidRPr="00027D41">
        <w:rPr>
          <w:rFonts w:eastAsia="Arial"/>
          <w:color w:val="000000"/>
          <w:sz w:val="22"/>
          <w:szCs w:val="22"/>
          <w:lang w:eastAsia="pl-PL" w:bidi="pl-PL"/>
        </w:rPr>
        <w:lastRenderedPageBreak/>
        <w:t xml:space="preserve">się i przewidzianych do wymiany w czasookresach określonych w DTR (takie jak: filtry, oleje, uszczelki, elementy gumowe, glikol, itp.). </w:t>
      </w:r>
    </w:p>
    <w:p w14:paraId="427D9132"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Jakiekolwiek opóźnienia w wykonaniu Umowy, za które Wykonawca nie ponosi odpowiedzialności, nie są powodem przedłużenia okresu gwarancji, z wyłączeniem przypadków wystąpienia siły wyższej, przy której wystąpieniu, Strony uzgodnią odrębnie kwestię trwania okresu gwarancji. </w:t>
      </w:r>
    </w:p>
    <w:p w14:paraId="6637F724"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Wykonawca przekaże Zamawiającemu wszystkie kody i programy serwisowe przed upływem okresu gwarancyjnego. Zamawiający nie może wymagać udostępnienia kodów, które nie są w posiadaniu Wykonawcy. Części wymienione na gwarancji podczas okresu gwarancyjnego posiadają odrębną gwarancję trwającą nie mniej niż 12 miesięcy od czasu jej zamontowania, z zastrzeżeniem, że czas gwarancji nie skraca się (wymiana przed upływem pierwszego roku z dwu-letniego okresu gwarancji nie skraca gwarancji do roku od wymiany części, ale wymiana w okresie trwania drugiego roku gwarancji lub po upływie gwarancji przy usterce, która wystąpiła przed upływem gwarancji ustanawiana jest na okres 12 miesięcy od wymiany). </w:t>
      </w:r>
    </w:p>
    <w:p w14:paraId="0C1100F7"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Każdorazowo podczas przeprowadzania czynności serwisowych, personel serwisowy Wykonawcy zapewni na żądanie Zamawiającego możliwość wglądu przez personel Zamawiającego na wykonywane przez Wykonawcę prace serwisowe w celu budowania kompetencji personelu Zamawiającego w zakresie obsługi i serwisowania CHP w podstawowym zakresie (wymiana oleju, glikolu, czyszczenie, w zakresie świec itp.).  </w:t>
      </w:r>
    </w:p>
    <w:p w14:paraId="035EB1E4"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Wykonawca zapewnia 24h/dobę i 7dni/w tygodniu kontakt telefoniczny (nr telefonu) z serwisem w celu zdalnej pomocy technicznej której celem jest w miarę możliwości usunięcie usterek lub wątpliwości odnośnie nieprawidłowej pracy CHP (i pozostałej infrastruktury) bez konieczności faktycznego przyjazdu serwisu. </w:t>
      </w:r>
    </w:p>
    <w:p w14:paraId="62DB271B"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Wykonawca ma obowiązek prowadzić, w okresie gwarancji, nieodpłatny stały zdalny monitoring urządzeń oraz możliwość zdalnej naprawy lub korekty pracy CHP z zastrzeżeniem udostępnienia przez Zamawiającego łącza internetowego doprowadzonego do automatyki agregatu. </w:t>
      </w:r>
    </w:p>
    <w:p w14:paraId="0C782841"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Strony zobowiązują się zachować w tajemnicy uzyskiwane od stron informacje, w tym szczególności dane produkcyjne energii, biogazu i jakości biogazu Zamawiającego. </w:t>
      </w:r>
    </w:p>
    <w:p w14:paraId="78ACF93C"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Wykonawca ma obowiązek prowadzić w formie elektronicznej historie napraw i usterek CHP. </w:t>
      </w:r>
    </w:p>
    <w:p w14:paraId="1EE278C5"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Strony ustalają, że Wykonawca z wyprzedzeniem co najmniej 7 dni powiadomi Zamawiającego o planowanym przeprowadzeniu danego przeglądu serwisowego. </w:t>
      </w:r>
    </w:p>
    <w:p w14:paraId="713FEEB6"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Strony ustalają, że przeprowadzenie danego przeglądu nastąpi w okresie +/- 50 </w:t>
      </w:r>
      <w:proofErr w:type="spellStart"/>
      <w:r w:rsidRPr="00027D41">
        <w:rPr>
          <w:rFonts w:eastAsia="Arial"/>
          <w:color w:val="000000"/>
          <w:sz w:val="22"/>
          <w:szCs w:val="22"/>
          <w:lang w:eastAsia="pl-PL" w:bidi="pl-PL"/>
        </w:rPr>
        <w:t>mth</w:t>
      </w:r>
      <w:proofErr w:type="spellEnd"/>
      <w:r w:rsidRPr="00027D41">
        <w:rPr>
          <w:rFonts w:eastAsia="Arial"/>
          <w:color w:val="000000"/>
          <w:sz w:val="22"/>
          <w:szCs w:val="22"/>
          <w:lang w:eastAsia="pl-PL" w:bidi="pl-PL"/>
        </w:rPr>
        <w:t xml:space="preserve"> od planowego czasu przeglądu. </w:t>
      </w:r>
    </w:p>
    <w:p w14:paraId="3CB5B175"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Wykonawca naprawia błędy poczynione w świadczonej usłudze serwisowej na swój koszt w trybie niezwłocznym. </w:t>
      </w:r>
    </w:p>
    <w:p w14:paraId="21659A37"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Za wszystkie szkody w CHP wyrządzone przez personel Wykonawcy odpowiada Wykonawca. </w:t>
      </w:r>
    </w:p>
    <w:p w14:paraId="51D9F91C"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lastRenderedPageBreak/>
        <w:t xml:space="preserve">Jeżeli usterka będzie wymagała sprowadzenia rzadko używanych podzespołów, to czas sprowadzenia tych podzespołów oraz czas naprawy pomniejsza minimalną dyspozycyjność pracy …. h rocznie, o której mowa w </w:t>
      </w:r>
      <w:proofErr w:type="spellStart"/>
      <w:r w:rsidRPr="00027D41">
        <w:rPr>
          <w:rFonts w:eastAsia="Arial"/>
          <w:color w:val="000000"/>
          <w:sz w:val="22"/>
          <w:szCs w:val="22"/>
          <w:lang w:eastAsia="pl-PL" w:bidi="pl-PL"/>
        </w:rPr>
        <w:t>ppk</w:t>
      </w:r>
      <w:proofErr w:type="spellEnd"/>
      <w:r w:rsidRPr="00027D41">
        <w:rPr>
          <w:rFonts w:eastAsia="Arial"/>
          <w:color w:val="000000"/>
          <w:sz w:val="22"/>
          <w:szCs w:val="22"/>
          <w:lang w:eastAsia="pl-PL" w:bidi="pl-PL"/>
        </w:rPr>
        <w:t xml:space="preserve"> „a”. Do rzadko używanych podzespołów zaliczymy tylko i wyłącznie: blok silnika, wał korbowy, wirnik prądnicy, obudowa prądnicy wraz z stojanem, chłodnica awaryjna, wymiennik ciepła spalin, wymiennik płytowy. Konieczność sprowadzenia rzadko używanego podzespołu nie zwalnia Wykonawcy z podjęcia niezwłocznego działania w celu wymiany takiego podzespołu (bez zbędnych opóźnień). </w:t>
      </w:r>
    </w:p>
    <w:p w14:paraId="32368BCD" w14:textId="77777777" w:rsidR="00E92F80" w:rsidRPr="00027D41"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Strony ustalają koszty dodatkowego wynagrodzenia za dodatkowe usługi świadczone w okresie gwarancji przez Wykonawcę na żądanie Zamawiającego nie objęte Umową, na kwotę 250 PLN netto/h faktycznej pracy jednej osoby, a w przypadku pracy ekipy serwisowej (składającej się z min. 2 osób) 400 PLN netto/h faktycznej pracy ekipy oraz koszty dojazdu w ramach dodatkowej usługi na teren biogazowni ustalony ryczałtowo w wysokości 1000 zł netto. </w:t>
      </w:r>
    </w:p>
    <w:p w14:paraId="719E0F23" w14:textId="691A8CC2" w:rsidR="00E92F80" w:rsidRDefault="00E92F80" w:rsidP="00E92F80">
      <w:pPr>
        <w:pStyle w:val="Akapitzlist"/>
        <w:numPr>
          <w:ilvl w:val="1"/>
          <w:numId w:val="20"/>
        </w:numPr>
        <w:spacing w:line="360" w:lineRule="auto"/>
        <w:jc w:val="both"/>
        <w:rPr>
          <w:rFonts w:eastAsia="Arial"/>
          <w:color w:val="000000"/>
          <w:sz w:val="22"/>
          <w:szCs w:val="22"/>
          <w:lang w:eastAsia="pl-PL" w:bidi="pl-PL"/>
        </w:rPr>
      </w:pPr>
      <w:r w:rsidRPr="00027D41">
        <w:rPr>
          <w:rFonts w:eastAsia="Arial"/>
          <w:color w:val="000000"/>
          <w:sz w:val="22"/>
          <w:szCs w:val="22"/>
          <w:lang w:eastAsia="pl-PL" w:bidi="pl-PL"/>
        </w:rPr>
        <w:t xml:space="preserve">W razie niedotrzymania przez Wykonawcę dyspozycyjności (praca średnio rocznie pełną mocą przez ….. h), w okresie gwarancyjnym, Zamawiającemu przysługuje prawo żądania kary umownej w wysokości </w:t>
      </w:r>
      <w:proofErr w:type="spellStart"/>
      <w:r w:rsidRPr="00027D41">
        <w:rPr>
          <w:rFonts w:eastAsia="Arial"/>
          <w:color w:val="000000"/>
          <w:sz w:val="22"/>
          <w:szCs w:val="22"/>
          <w:lang w:eastAsia="pl-PL" w:bidi="pl-PL"/>
        </w:rPr>
        <w:t>Kd</w:t>
      </w:r>
      <w:proofErr w:type="spellEnd"/>
      <w:r w:rsidRPr="00027D41">
        <w:rPr>
          <w:rFonts w:eastAsia="Arial"/>
          <w:color w:val="000000"/>
          <w:sz w:val="22"/>
          <w:szCs w:val="22"/>
          <w:lang w:eastAsia="pl-PL" w:bidi="pl-PL"/>
        </w:rPr>
        <w:t xml:space="preserve"> określonej </w:t>
      </w:r>
      <w:r>
        <w:rPr>
          <w:rFonts w:eastAsia="Arial"/>
          <w:color w:val="000000"/>
          <w:sz w:val="22"/>
          <w:szCs w:val="22"/>
          <w:lang w:eastAsia="pl-PL" w:bidi="pl-PL"/>
        </w:rPr>
        <w:t>w §22 ust. 17 Umowy</w:t>
      </w:r>
      <w:r w:rsidRPr="00027D41">
        <w:rPr>
          <w:rFonts w:eastAsia="Arial"/>
          <w:color w:val="000000"/>
          <w:sz w:val="22"/>
          <w:szCs w:val="22"/>
          <w:lang w:eastAsia="pl-PL" w:bidi="pl-PL"/>
        </w:rPr>
        <w:t xml:space="preserve">. </w:t>
      </w:r>
    </w:p>
    <w:p w14:paraId="25EAC008" w14:textId="3BE2FC52" w:rsidR="003B3921" w:rsidRPr="003B3921" w:rsidRDefault="003B3921" w:rsidP="003B3921">
      <w:pPr>
        <w:pStyle w:val="Akapitzlist"/>
        <w:numPr>
          <w:ilvl w:val="0"/>
          <w:numId w:val="20"/>
        </w:numPr>
        <w:spacing w:line="360" w:lineRule="auto"/>
        <w:jc w:val="both"/>
        <w:rPr>
          <w:sz w:val="22"/>
          <w:szCs w:val="22"/>
        </w:rPr>
      </w:pPr>
      <w:r>
        <w:rPr>
          <w:rFonts w:eastAsia="Arial"/>
          <w:color w:val="000000"/>
          <w:sz w:val="22"/>
          <w:szCs w:val="22"/>
          <w:lang w:eastAsia="pl-PL" w:bidi="pl-PL"/>
        </w:rPr>
        <w:t>Szczegółowy harmonogram prac serwisowych kompletnej jednostki kogeneracji w wykonaniu Wykonawcy przedstawiono w Załączniku nr 11.1 do Umowy.</w:t>
      </w:r>
    </w:p>
    <w:sectPr w:rsidR="003B3921" w:rsidRPr="003B3921" w:rsidSect="003D125A">
      <w:footerReference w:type="even" r:id="rId7"/>
      <w:footerReference w:type="default" r:id="rId8"/>
      <w:pgSz w:w="11906" w:h="16838"/>
      <w:pgMar w:top="1304" w:right="1077" w:bottom="1304" w:left="107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CB683" w16cex:dateUtc="2024-10-18T08:27:00Z"/>
  <w16cex:commentExtensible w16cex:durableId="2213B087" w16cex:dateUtc="2024-09-02T10:33:00Z"/>
  <w16cex:commentExtensible w16cex:durableId="3F974B1B" w16cex:dateUtc="2024-09-13T05:47:00Z"/>
  <w16cex:commentExtensible w16cex:durableId="15A1DAC6" w16cex:dateUtc="2024-09-17T17:55:00Z"/>
  <w16cex:commentExtensible w16cex:durableId="7A937FD2" w16cex:dateUtc="2024-10-07T08:56:00Z"/>
  <w16cex:commentExtensible w16cex:durableId="05C82D33" w16cex:dateUtc="2024-09-02T10:34:00Z"/>
  <w16cex:commentExtensible w16cex:durableId="73BAEEC6" w16cex:dateUtc="2024-09-13T05:49:00Z"/>
  <w16cex:commentExtensible w16cex:durableId="03F4FD85" w16cex:dateUtc="2024-09-17T17:58:00Z"/>
  <w16cex:commentExtensible w16cex:durableId="4B0FEA60" w16cex:dateUtc="2024-09-02T10:36:00Z"/>
  <w16cex:commentExtensible w16cex:durableId="4EFB0158" w16cex:dateUtc="2024-09-13T05: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9FF27" w14:textId="77777777" w:rsidR="00CB6213" w:rsidRDefault="00CB6213" w:rsidP="00E21B0C">
      <w:r>
        <w:separator/>
      </w:r>
    </w:p>
  </w:endnote>
  <w:endnote w:type="continuationSeparator" w:id="0">
    <w:p w14:paraId="089220AE" w14:textId="77777777" w:rsidR="00CB6213" w:rsidRDefault="00CB6213" w:rsidP="00E2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strony"/>
      </w:rPr>
      <w:id w:val="-1435744989"/>
      <w:docPartObj>
        <w:docPartGallery w:val="Page Numbers (Bottom of Page)"/>
        <w:docPartUnique/>
      </w:docPartObj>
    </w:sdtPr>
    <w:sdtEndPr>
      <w:rPr>
        <w:rStyle w:val="Numerstrony"/>
      </w:rPr>
    </w:sdtEndPr>
    <w:sdtContent>
      <w:p w14:paraId="1F390EDA" w14:textId="77777777" w:rsidR="00E21B0C" w:rsidRDefault="00E21B0C" w:rsidP="00115F0A">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6AFB94E3" w14:textId="77777777" w:rsidR="00E21B0C" w:rsidRDefault="00E21B0C" w:rsidP="00E21B0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strony"/>
      </w:rPr>
      <w:id w:val="-1422339246"/>
      <w:docPartObj>
        <w:docPartGallery w:val="Page Numbers (Bottom of Page)"/>
        <w:docPartUnique/>
      </w:docPartObj>
    </w:sdtPr>
    <w:sdtEndPr>
      <w:rPr>
        <w:rStyle w:val="Numerstrony"/>
      </w:rPr>
    </w:sdtEndPr>
    <w:sdtContent>
      <w:p w14:paraId="1D0000E9" w14:textId="77777777" w:rsidR="00E21B0C" w:rsidRDefault="00E21B0C" w:rsidP="00115F0A">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242F9A27" w14:textId="77777777" w:rsidR="00E21B0C" w:rsidRDefault="00E21B0C" w:rsidP="00E21B0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AD173" w14:textId="77777777" w:rsidR="00CB6213" w:rsidRDefault="00CB6213" w:rsidP="00E21B0C">
      <w:r>
        <w:separator/>
      </w:r>
    </w:p>
  </w:footnote>
  <w:footnote w:type="continuationSeparator" w:id="0">
    <w:p w14:paraId="33741F26" w14:textId="77777777" w:rsidR="00CB6213" w:rsidRDefault="00CB6213" w:rsidP="00E21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E62CF"/>
    <w:multiLevelType w:val="hybridMultilevel"/>
    <w:tmpl w:val="BFC6A3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03A30D0"/>
    <w:multiLevelType w:val="hybridMultilevel"/>
    <w:tmpl w:val="C8ECA1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33500A5"/>
    <w:multiLevelType w:val="hybridMultilevel"/>
    <w:tmpl w:val="B9F46414"/>
    <w:lvl w:ilvl="0" w:tplc="FFFFFFFF">
      <w:start w:val="1"/>
      <w:numFmt w:val="decimal"/>
      <w:lvlText w:val="%1)"/>
      <w:lvlJc w:val="left"/>
      <w:pPr>
        <w:ind w:left="108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160C07B8"/>
    <w:multiLevelType w:val="hybridMultilevel"/>
    <w:tmpl w:val="D988F4E6"/>
    <w:lvl w:ilvl="0" w:tplc="FFFFFFFF">
      <w:start w:val="1"/>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start w:val="1"/>
      <w:numFmt w:val="lowerLetter"/>
      <w:lvlText w:val="%3)"/>
      <w:lvlJc w:val="left"/>
      <w:pPr>
        <w:ind w:left="1440" w:hanging="360"/>
      </w:pPr>
    </w:lvl>
    <w:lvl w:ilvl="3" w:tplc="FFFFFFFF">
      <w:start w:val="1"/>
      <w:numFmt w:val="lowerRoman"/>
      <w:lvlText w:val="%4."/>
      <w:lvlJc w:val="righ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BC03FFE"/>
    <w:multiLevelType w:val="hybridMultilevel"/>
    <w:tmpl w:val="4A9EF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5651641"/>
    <w:multiLevelType w:val="hybridMultilevel"/>
    <w:tmpl w:val="D0F02A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B6C5ACD"/>
    <w:multiLevelType w:val="hybridMultilevel"/>
    <w:tmpl w:val="8DEAB05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3EDC3051"/>
    <w:multiLevelType w:val="hybridMultilevel"/>
    <w:tmpl w:val="4A9EFB7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3F764921"/>
    <w:multiLevelType w:val="hybridMultilevel"/>
    <w:tmpl w:val="B76C2F2E"/>
    <w:lvl w:ilvl="0" w:tplc="04150015">
      <w:start w:val="1"/>
      <w:numFmt w:val="upperLetter"/>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3D808F5"/>
    <w:multiLevelType w:val="hybridMultilevel"/>
    <w:tmpl w:val="93B278C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5D70F30"/>
    <w:multiLevelType w:val="hybridMultilevel"/>
    <w:tmpl w:val="170EB1F0"/>
    <w:lvl w:ilvl="0" w:tplc="FFFFFFFF">
      <w:start w:val="1"/>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start w:val="1"/>
      <w:numFmt w:val="lowerLetter"/>
      <w:lvlText w:val="%3)"/>
      <w:lvlJc w:val="left"/>
      <w:pPr>
        <w:ind w:left="1440" w:hanging="360"/>
      </w:pPr>
    </w:lvl>
    <w:lvl w:ilvl="3" w:tplc="FFFFFFFF">
      <w:start w:val="1"/>
      <w:numFmt w:val="lowerRoman"/>
      <w:lvlText w:val="%4."/>
      <w:lvlJc w:val="righ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58517378"/>
    <w:multiLevelType w:val="hybridMultilevel"/>
    <w:tmpl w:val="9FD0579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29668C8"/>
    <w:multiLevelType w:val="hybridMultilevel"/>
    <w:tmpl w:val="B9F46414"/>
    <w:lvl w:ilvl="0" w:tplc="04150011">
      <w:start w:val="1"/>
      <w:numFmt w:val="decimal"/>
      <w:lvlText w:val="%1)"/>
      <w:lvlJc w:val="left"/>
      <w:pPr>
        <w:ind w:left="108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692D23DC"/>
    <w:multiLevelType w:val="hybridMultilevel"/>
    <w:tmpl w:val="B9F46414"/>
    <w:lvl w:ilvl="0" w:tplc="FFFFFFFF">
      <w:start w:val="1"/>
      <w:numFmt w:val="decimal"/>
      <w:lvlText w:val="%1)"/>
      <w:lvlJc w:val="left"/>
      <w:pPr>
        <w:ind w:left="108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6AB62617"/>
    <w:multiLevelType w:val="hybridMultilevel"/>
    <w:tmpl w:val="B76C2F2E"/>
    <w:lvl w:ilvl="0" w:tplc="FFFFFFFF">
      <w:start w:val="1"/>
      <w:numFmt w:val="upp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6DAB1236"/>
    <w:multiLevelType w:val="hybridMultilevel"/>
    <w:tmpl w:val="D988F4E6"/>
    <w:lvl w:ilvl="0" w:tplc="04150019">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7">
      <w:start w:val="1"/>
      <w:numFmt w:val="lowerLetter"/>
      <w:lvlText w:val="%3)"/>
      <w:lvlJc w:val="left"/>
      <w:pPr>
        <w:ind w:left="1440" w:hanging="360"/>
      </w:pPr>
    </w:lvl>
    <w:lvl w:ilvl="3" w:tplc="0415001B">
      <w:start w:val="1"/>
      <w:numFmt w:val="lowerRoman"/>
      <w:lvlText w:val="%4."/>
      <w:lvlJc w:val="righ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FE03C9F"/>
    <w:multiLevelType w:val="hybridMultilevel"/>
    <w:tmpl w:val="D988F4E6"/>
    <w:lvl w:ilvl="0" w:tplc="FFFFFFFF">
      <w:start w:val="1"/>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start w:val="1"/>
      <w:numFmt w:val="lowerLetter"/>
      <w:lvlText w:val="%3)"/>
      <w:lvlJc w:val="left"/>
      <w:pPr>
        <w:ind w:left="1440" w:hanging="360"/>
      </w:pPr>
    </w:lvl>
    <w:lvl w:ilvl="3" w:tplc="FFFFFFFF">
      <w:start w:val="1"/>
      <w:numFmt w:val="lowerRoman"/>
      <w:lvlText w:val="%4."/>
      <w:lvlJc w:val="righ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94B04B2"/>
    <w:multiLevelType w:val="hybridMultilevel"/>
    <w:tmpl w:val="8A68448A"/>
    <w:lvl w:ilvl="0" w:tplc="AFBC4B0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A2654B2"/>
    <w:multiLevelType w:val="hybridMultilevel"/>
    <w:tmpl w:val="D0F02A4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C1D364D"/>
    <w:multiLevelType w:val="hybridMultilevel"/>
    <w:tmpl w:val="89B6AE9A"/>
    <w:lvl w:ilvl="0" w:tplc="45CE8582">
      <w:start w:val="1"/>
      <w:numFmt w:val="decimal"/>
      <w:lvlText w:val="%1)"/>
      <w:lvlJc w:val="left"/>
      <w:pPr>
        <w:ind w:left="644"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1"/>
  </w:num>
  <w:num w:numId="3">
    <w:abstractNumId w:val="8"/>
  </w:num>
  <w:num w:numId="4">
    <w:abstractNumId w:val="17"/>
  </w:num>
  <w:num w:numId="5">
    <w:abstractNumId w:val="9"/>
  </w:num>
  <w:num w:numId="6">
    <w:abstractNumId w:val="10"/>
  </w:num>
  <w:num w:numId="7">
    <w:abstractNumId w:val="16"/>
  </w:num>
  <w:num w:numId="8">
    <w:abstractNumId w:val="4"/>
  </w:num>
  <w:num w:numId="9">
    <w:abstractNumId w:val="7"/>
  </w:num>
  <w:num w:numId="10">
    <w:abstractNumId w:val="5"/>
  </w:num>
  <w:num w:numId="11">
    <w:abstractNumId w:val="18"/>
  </w:num>
  <w:num w:numId="12">
    <w:abstractNumId w:val="19"/>
  </w:num>
  <w:num w:numId="13">
    <w:abstractNumId w:val="14"/>
  </w:num>
  <w:num w:numId="14">
    <w:abstractNumId w:val="3"/>
  </w:num>
  <w:num w:numId="15">
    <w:abstractNumId w:val="1"/>
  </w:num>
  <w:num w:numId="16">
    <w:abstractNumId w:val="6"/>
  </w:num>
  <w:num w:numId="17">
    <w:abstractNumId w:val="12"/>
  </w:num>
  <w:num w:numId="18">
    <w:abstractNumId w:val="2"/>
  </w:num>
  <w:num w:numId="19">
    <w:abstractNumId w:val="1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B0C"/>
    <w:rsid w:val="000A63ED"/>
    <w:rsid w:val="00180FFB"/>
    <w:rsid w:val="002F07A5"/>
    <w:rsid w:val="003405F6"/>
    <w:rsid w:val="003B3921"/>
    <w:rsid w:val="003D125A"/>
    <w:rsid w:val="004079AD"/>
    <w:rsid w:val="00421632"/>
    <w:rsid w:val="0051415B"/>
    <w:rsid w:val="00553EF6"/>
    <w:rsid w:val="005E2B97"/>
    <w:rsid w:val="00677248"/>
    <w:rsid w:val="006B60CF"/>
    <w:rsid w:val="006F4968"/>
    <w:rsid w:val="00736382"/>
    <w:rsid w:val="007A15FC"/>
    <w:rsid w:val="007C06D0"/>
    <w:rsid w:val="00A75ED8"/>
    <w:rsid w:val="00A83582"/>
    <w:rsid w:val="00AC33C3"/>
    <w:rsid w:val="00C67D09"/>
    <w:rsid w:val="00C94C9F"/>
    <w:rsid w:val="00CB6213"/>
    <w:rsid w:val="00CC21E3"/>
    <w:rsid w:val="00DE4E98"/>
    <w:rsid w:val="00E21B0C"/>
    <w:rsid w:val="00E92F80"/>
    <w:rsid w:val="00F2133D"/>
    <w:rsid w:val="00FF3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47FE7"/>
  <w15:chartTrackingRefBased/>
  <w15:docId w15:val="{2A4126C7-F216-904A-AD8E-A04B8466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Lista - poziom 1,Tabela - naglowek,SM-nagłówek2,CP-UC,Tytuły,Lista num,Wypunktowanie,Conclusion de partie,Body Texte,List Paragraph1,Para. de Liste,Akapit z listą;1_literowka,Literowanie,1_literowka,RR PGE Akapit z listą"/>
    <w:basedOn w:val="Normalny"/>
    <w:link w:val="AkapitzlistZnak"/>
    <w:uiPriority w:val="34"/>
    <w:qFormat/>
    <w:rsid w:val="00E21B0C"/>
    <w:pPr>
      <w:suppressAutoHyphens/>
      <w:ind w:left="720"/>
      <w:contextualSpacing/>
    </w:pPr>
    <w:rPr>
      <w:rFonts w:ascii="Times New Roman" w:eastAsia="Times New Roman" w:hAnsi="Times New Roman" w:cs="Times New Roman"/>
      <w:kern w:val="0"/>
      <w:lang w:eastAsia="ar-SA"/>
      <w14:ligatures w14:val="none"/>
    </w:rPr>
  </w:style>
  <w:style w:type="character" w:styleId="Odwoaniedokomentarza">
    <w:name w:val="annotation reference"/>
    <w:uiPriority w:val="99"/>
    <w:semiHidden/>
    <w:unhideWhenUsed/>
    <w:rsid w:val="00E21B0C"/>
    <w:rPr>
      <w:sz w:val="16"/>
      <w:szCs w:val="16"/>
    </w:rPr>
  </w:style>
  <w:style w:type="paragraph" w:styleId="Tekstkomentarza">
    <w:name w:val="annotation text"/>
    <w:basedOn w:val="Normalny"/>
    <w:link w:val="TekstkomentarzaZnak"/>
    <w:uiPriority w:val="99"/>
    <w:unhideWhenUsed/>
    <w:rsid w:val="00E21B0C"/>
    <w:pPr>
      <w:widowControl w:val="0"/>
    </w:pPr>
    <w:rPr>
      <w:rFonts w:ascii="Times New Roman" w:eastAsia="Times New Roman" w:hAnsi="Times New Roman" w:cs="Times New Roman"/>
      <w:color w:val="000000"/>
      <w:kern w:val="0"/>
      <w:sz w:val="20"/>
      <w:szCs w:val="20"/>
      <w:lang w:eastAsia="pl-PL" w:bidi="pl-PL"/>
      <w14:ligatures w14:val="none"/>
    </w:rPr>
  </w:style>
  <w:style w:type="character" w:customStyle="1" w:styleId="TekstkomentarzaZnak">
    <w:name w:val="Tekst komentarza Znak"/>
    <w:basedOn w:val="Domylnaczcionkaakapitu"/>
    <w:link w:val="Tekstkomentarza"/>
    <w:uiPriority w:val="99"/>
    <w:rsid w:val="00E21B0C"/>
    <w:rPr>
      <w:rFonts w:ascii="Times New Roman" w:eastAsia="Times New Roman" w:hAnsi="Times New Roman" w:cs="Times New Roman"/>
      <w:color w:val="000000"/>
      <w:kern w:val="0"/>
      <w:sz w:val="20"/>
      <w:szCs w:val="20"/>
      <w:lang w:eastAsia="pl-PL" w:bidi="pl-PL"/>
      <w14:ligatures w14:val="none"/>
    </w:rPr>
  </w:style>
  <w:style w:type="character" w:customStyle="1" w:styleId="AkapitzlistZnak">
    <w:name w:val="Akapit z listą Znak"/>
    <w:aliases w:val="lp1 Znak,Preambuła Znak,Lista - poziom 1 Znak,Tabela - naglowek Znak,SM-nagłówek2 Znak,CP-UC Znak,Tytuły Znak,Lista num Znak,Wypunktowanie Znak,Conclusion de partie Znak,Body Texte Znak,List Paragraph1 Znak,Para. de Liste Znak"/>
    <w:link w:val="Akapitzlist"/>
    <w:uiPriority w:val="34"/>
    <w:qFormat/>
    <w:locked/>
    <w:rsid w:val="00E21B0C"/>
    <w:rPr>
      <w:rFonts w:ascii="Times New Roman" w:eastAsia="Times New Roman" w:hAnsi="Times New Roman" w:cs="Times New Roman"/>
      <w:kern w:val="0"/>
      <w:lang w:eastAsia="ar-SA"/>
      <w14:ligatures w14:val="none"/>
    </w:rPr>
  </w:style>
  <w:style w:type="paragraph" w:styleId="Stopka">
    <w:name w:val="footer"/>
    <w:basedOn w:val="Normalny"/>
    <w:link w:val="StopkaZnak"/>
    <w:uiPriority w:val="99"/>
    <w:unhideWhenUsed/>
    <w:rsid w:val="00E21B0C"/>
    <w:pPr>
      <w:tabs>
        <w:tab w:val="center" w:pos="4536"/>
        <w:tab w:val="right" w:pos="9072"/>
      </w:tabs>
    </w:pPr>
  </w:style>
  <w:style w:type="character" w:customStyle="1" w:styleId="StopkaZnak">
    <w:name w:val="Stopka Znak"/>
    <w:basedOn w:val="Domylnaczcionkaakapitu"/>
    <w:link w:val="Stopka"/>
    <w:uiPriority w:val="99"/>
    <w:rsid w:val="00E21B0C"/>
  </w:style>
  <w:style w:type="character" w:styleId="Numerstrony">
    <w:name w:val="page number"/>
    <w:basedOn w:val="Domylnaczcionkaakapitu"/>
    <w:uiPriority w:val="99"/>
    <w:semiHidden/>
    <w:unhideWhenUsed/>
    <w:rsid w:val="00E21B0C"/>
  </w:style>
  <w:style w:type="character" w:customStyle="1" w:styleId="Bodytext2">
    <w:name w:val="Body text (2)_"/>
    <w:link w:val="Bodytext20"/>
    <w:rsid w:val="00736382"/>
    <w:rPr>
      <w:rFonts w:ascii="Arial" w:eastAsia="Arial" w:hAnsi="Arial" w:cs="Arial"/>
      <w:sz w:val="22"/>
      <w:szCs w:val="22"/>
      <w:shd w:val="clear" w:color="auto" w:fill="FFFFFF"/>
    </w:rPr>
  </w:style>
  <w:style w:type="paragraph" w:customStyle="1" w:styleId="Bodytext20">
    <w:name w:val="Body text (2)"/>
    <w:basedOn w:val="Normalny"/>
    <w:link w:val="Bodytext2"/>
    <w:rsid w:val="00736382"/>
    <w:pPr>
      <w:widowControl w:val="0"/>
      <w:shd w:val="clear" w:color="auto" w:fill="FFFFFF"/>
      <w:spacing w:before="1060" w:line="246" w:lineRule="exact"/>
      <w:ind w:hanging="1580"/>
      <w:jc w:val="center"/>
    </w:pPr>
    <w:rPr>
      <w:rFonts w:ascii="Arial" w:eastAsia="Arial" w:hAnsi="Arial" w:cs="Arial"/>
      <w:sz w:val="22"/>
      <w:szCs w:val="22"/>
    </w:rPr>
  </w:style>
  <w:style w:type="paragraph" w:styleId="Poprawka">
    <w:name w:val="Revision"/>
    <w:hidden/>
    <w:uiPriority w:val="99"/>
    <w:semiHidden/>
    <w:rsid w:val="00E92F80"/>
  </w:style>
  <w:style w:type="paragraph" w:styleId="Tekstdymka">
    <w:name w:val="Balloon Text"/>
    <w:basedOn w:val="Normalny"/>
    <w:link w:val="TekstdymkaZnak"/>
    <w:uiPriority w:val="99"/>
    <w:semiHidden/>
    <w:unhideWhenUsed/>
    <w:rsid w:val="00F2133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13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1839</Words>
  <Characters>11036</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Ćwil</dc:creator>
  <cp:keywords/>
  <dc:description/>
  <cp:lastModifiedBy>Müller Paweł</cp:lastModifiedBy>
  <cp:revision>4</cp:revision>
  <dcterms:created xsi:type="dcterms:W3CDTF">2024-11-03T23:45:00Z</dcterms:created>
  <dcterms:modified xsi:type="dcterms:W3CDTF">2024-12-03T10:06:00Z</dcterms:modified>
</cp:coreProperties>
</file>