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E20CC" w14:textId="77777777" w:rsidR="00A41428" w:rsidRPr="00A41428" w:rsidRDefault="00A41428">
      <w:pPr>
        <w:rPr>
          <w:b/>
          <w:bCs/>
          <w:sz w:val="24"/>
          <w:szCs w:val="24"/>
        </w:rPr>
      </w:pPr>
      <w:r w:rsidRPr="00A41428">
        <w:rPr>
          <w:b/>
          <w:bCs/>
          <w:sz w:val="24"/>
          <w:szCs w:val="24"/>
        </w:rPr>
        <w:t xml:space="preserve">Zgodnie z Rozporządzeniem Ministra Gospodarki z dnia 4 maja 2007 r. w sprawie szczegółowych warunków funkcjonowania systemu elektroenergetycznego (Dz. U. Nr 93 z 2007 r., poz. 623) ENEA Trading Sp. z o.o. przedstawia: </w:t>
      </w:r>
    </w:p>
    <w:p w14:paraId="2BD25005" w14:textId="3093847A" w:rsidR="00EE662A" w:rsidRDefault="00A41428" w:rsidP="005570F3">
      <w:pPr>
        <w:pStyle w:val="Akapitzlist"/>
        <w:numPr>
          <w:ilvl w:val="0"/>
          <w:numId w:val="1"/>
        </w:numPr>
      </w:pPr>
      <w:r>
        <w:t>Strukturę paliw i innych nośników energii pierwotnej zużytych do wytwarzania energii elektrycznej sprzedanej w 2024 roku przez ENEA Trading Sp. z o.o.</w:t>
      </w:r>
    </w:p>
    <w:tbl>
      <w:tblPr>
        <w:tblW w:w="5600" w:type="dxa"/>
        <w:tblInd w:w="17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260"/>
        <w:gridCol w:w="2380"/>
      </w:tblGrid>
      <w:tr w:rsidR="005570F3" w:rsidRPr="005570F3" w14:paraId="61EFADC7" w14:textId="77777777" w:rsidTr="005570F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3B03" w14:textId="77777777" w:rsidR="005570F3" w:rsidRPr="005570F3" w:rsidRDefault="005570F3" w:rsidP="00557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70F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Lp. 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CBA9" w14:textId="77777777" w:rsidR="005570F3" w:rsidRPr="005570F3" w:rsidRDefault="005570F3" w:rsidP="00557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70F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Źródło energii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0FF9" w14:textId="77777777" w:rsidR="005570F3" w:rsidRPr="005570F3" w:rsidRDefault="005570F3" w:rsidP="00557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70F3">
              <w:rPr>
                <w:rFonts w:ascii="Calibri" w:eastAsia="Times New Roman" w:hAnsi="Calibri" w:cs="Calibri"/>
                <w:color w:val="000000"/>
                <w:lang w:eastAsia="pl-PL"/>
              </w:rPr>
              <w:t>Udział procentowy [%]</w:t>
            </w:r>
          </w:p>
        </w:tc>
      </w:tr>
      <w:tr w:rsidR="005570F3" w:rsidRPr="005570F3" w14:paraId="1EF662ED" w14:textId="77777777" w:rsidTr="005570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A1D4" w14:textId="77777777" w:rsidR="005570F3" w:rsidRPr="005570F3" w:rsidRDefault="005570F3" w:rsidP="00557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70F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297E" w14:textId="77777777" w:rsidR="005570F3" w:rsidRPr="005570F3" w:rsidRDefault="005570F3" w:rsidP="00557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70F3">
              <w:rPr>
                <w:rFonts w:ascii="Calibri" w:eastAsia="Times New Roman" w:hAnsi="Calibri" w:cs="Calibri"/>
                <w:color w:val="000000"/>
                <w:lang w:eastAsia="pl-PL"/>
              </w:rPr>
              <w:t>OZE, w tym: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9AB1" w14:textId="77777777" w:rsidR="005570F3" w:rsidRPr="005570F3" w:rsidRDefault="005570F3" w:rsidP="0055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70F3">
              <w:rPr>
                <w:rFonts w:ascii="Calibri" w:eastAsia="Times New Roman" w:hAnsi="Calibri" w:cs="Calibri"/>
                <w:color w:val="000000"/>
                <w:lang w:eastAsia="pl-PL"/>
              </w:rPr>
              <w:t>11,77</w:t>
            </w:r>
          </w:p>
        </w:tc>
      </w:tr>
      <w:tr w:rsidR="005570F3" w:rsidRPr="005570F3" w14:paraId="09085CC4" w14:textId="77777777" w:rsidTr="005570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E3DA" w14:textId="77777777" w:rsidR="005570F3" w:rsidRPr="005570F3" w:rsidRDefault="005570F3" w:rsidP="00557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70F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2684" w14:textId="77777777" w:rsidR="005570F3" w:rsidRPr="005570F3" w:rsidRDefault="005570F3" w:rsidP="00557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70F3">
              <w:rPr>
                <w:rFonts w:ascii="Calibri" w:eastAsia="Times New Roman" w:hAnsi="Calibri" w:cs="Calibri"/>
                <w:color w:val="000000"/>
                <w:lang w:eastAsia="pl-PL"/>
              </w:rPr>
              <w:t>biomasa i biogaz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8DC4" w14:textId="77777777" w:rsidR="005570F3" w:rsidRPr="005570F3" w:rsidRDefault="005570F3" w:rsidP="00557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5570F3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8,49</w:t>
            </w:r>
          </w:p>
        </w:tc>
      </w:tr>
      <w:tr w:rsidR="005570F3" w:rsidRPr="005570F3" w14:paraId="5A8CE9E2" w14:textId="77777777" w:rsidTr="005570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8666" w14:textId="77777777" w:rsidR="005570F3" w:rsidRPr="005570F3" w:rsidRDefault="005570F3" w:rsidP="00557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70F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BD90" w14:textId="77777777" w:rsidR="005570F3" w:rsidRPr="005570F3" w:rsidRDefault="005570F3" w:rsidP="00557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70F3">
              <w:rPr>
                <w:rFonts w:ascii="Calibri" w:eastAsia="Times New Roman" w:hAnsi="Calibri" w:cs="Calibri"/>
                <w:color w:val="000000"/>
                <w:lang w:eastAsia="pl-PL"/>
              </w:rPr>
              <w:t>energetyka wodna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143A" w14:textId="77777777" w:rsidR="005570F3" w:rsidRPr="005570F3" w:rsidRDefault="005570F3" w:rsidP="00557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5570F3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0,21</w:t>
            </w:r>
          </w:p>
        </w:tc>
      </w:tr>
      <w:tr w:rsidR="005570F3" w:rsidRPr="005570F3" w14:paraId="33A9E6B4" w14:textId="77777777" w:rsidTr="005570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63D5" w14:textId="77777777" w:rsidR="005570F3" w:rsidRPr="005570F3" w:rsidRDefault="005570F3" w:rsidP="00557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70F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CF53" w14:textId="77777777" w:rsidR="005570F3" w:rsidRPr="005570F3" w:rsidRDefault="005570F3" w:rsidP="00557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70F3">
              <w:rPr>
                <w:rFonts w:ascii="Calibri" w:eastAsia="Times New Roman" w:hAnsi="Calibri" w:cs="Calibri"/>
                <w:color w:val="000000"/>
                <w:lang w:eastAsia="pl-PL"/>
              </w:rPr>
              <w:t>energetyka wiatrowa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8130" w14:textId="77777777" w:rsidR="005570F3" w:rsidRPr="005570F3" w:rsidRDefault="005570F3" w:rsidP="00557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5570F3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2,06</w:t>
            </w:r>
          </w:p>
        </w:tc>
      </w:tr>
      <w:tr w:rsidR="005570F3" w:rsidRPr="005570F3" w14:paraId="73ADD6FC" w14:textId="77777777" w:rsidTr="005570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602F" w14:textId="77777777" w:rsidR="005570F3" w:rsidRPr="005570F3" w:rsidRDefault="005570F3" w:rsidP="00557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70F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AA7EA" w14:textId="77777777" w:rsidR="005570F3" w:rsidRPr="005570F3" w:rsidRDefault="005570F3" w:rsidP="00557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70F3">
              <w:rPr>
                <w:rFonts w:ascii="Calibri" w:eastAsia="Times New Roman" w:hAnsi="Calibri" w:cs="Calibri"/>
                <w:color w:val="000000"/>
                <w:lang w:eastAsia="pl-PL"/>
              </w:rPr>
              <w:t>ogniwa fotowoltaiczne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A8BB" w14:textId="77777777" w:rsidR="005570F3" w:rsidRPr="005570F3" w:rsidRDefault="005570F3" w:rsidP="00557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5570F3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1,01</w:t>
            </w:r>
          </w:p>
        </w:tc>
      </w:tr>
      <w:tr w:rsidR="005570F3" w:rsidRPr="005570F3" w14:paraId="05227259" w14:textId="77777777" w:rsidTr="005570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8591" w14:textId="77777777" w:rsidR="005570F3" w:rsidRPr="005570F3" w:rsidRDefault="005570F3" w:rsidP="00557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70F3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0DFA" w14:textId="77777777" w:rsidR="005570F3" w:rsidRPr="005570F3" w:rsidRDefault="005570F3" w:rsidP="00557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70F3">
              <w:rPr>
                <w:rFonts w:ascii="Calibri" w:eastAsia="Times New Roman" w:hAnsi="Calibri" w:cs="Calibri"/>
                <w:color w:val="000000"/>
                <w:lang w:eastAsia="pl-PL"/>
              </w:rPr>
              <w:t>Węgiel kamienny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04DD" w14:textId="77777777" w:rsidR="005570F3" w:rsidRPr="005570F3" w:rsidRDefault="005570F3" w:rsidP="0055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70F3">
              <w:rPr>
                <w:rFonts w:ascii="Calibri" w:eastAsia="Times New Roman" w:hAnsi="Calibri" w:cs="Calibri"/>
                <w:color w:val="000000"/>
                <w:lang w:eastAsia="pl-PL"/>
              </w:rPr>
              <w:t>82,92</w:t>
            </w:r>
          </w:p>
        </w:tc>
      </w:tr>
      <w:tr w:rsidR="005570F3" w:rsidRPr="005570F3" w14:paraId="65154873" w14:textId="77777777" w:rsidTr="005570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6E91" w14:textId="77777777" w:rsidR="005570F3" w:rsidRPr="005570F3" w:rsidRDefault="005570F3" w:rsidP="00557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70F3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66EC" w14:textId="77777777" w:rsidR="005570F3" w:rsidRPr="005570F3" w:rsidRDefault="005570F3" w:rsidP="00557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70F3">
              <w:rPr>
                <w:rFonts w:ascii="Calibri" w:eastAsia="Times New Roman" w:hAnsi="Calibri" w:cs="Calibri"/>
                <w:color w:val="000000"/>
                <w:lang w:eastAsia="pl-PL"/>
              </w:rPr>
              <w:t>Węgiel brunatny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590F" w14:textId="77777777" w:rsidR="005570F3" w:rsidRPr="005570F3" w:rsidRDefault="005570F3" w:rsidP="0055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70F3">
              <w:rPr>
                <w:rFonts w:ascii="Calibri" w:eastAsia="Times New Roman" w:hAnsi="Calibri" w:cs="Calibri"/>
                <w:color w:val="000000"/>
                <w:lang w:eastAsia="pl-PL"/>
              </w:rPr>
              <w:t>3,08</w:t>
            </w:r>
          </w:p>
        </w:tc>
      </w:tr>
      <w:tr w:rsidR="005570F3" w:rsidRPr="005570F3" w14:paraId="112A45C6" w14:textId="77777777" w:rsidTr="005570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3FDC" w14:textId="77777777" w:rsidR="005570F3" w:rsidRPr="005570F3" w:rsidRDefault="005570F3" w:rsidP="00557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70F3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E431" w14:textId="77777777" w:rsidR="005570F3" w:rsidRPr="005570F3" w:rsidRDefault="005570F3" w:rsidP="00557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70F3">
              <w:rPr>
                <w:rFonts w:ascii="Calibri" w:eastAsia="Times New Roman" w:hAnsi="Calibri" w:cs="Calibri"/>
                <w:color w:val="000000"/>
                <w:lang w:eastAsia="pl-PL"/>
              </w:rPr>
              <w:t>Paliwa gazowe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FCA5" w14:textId="77777777" w:rsidR="005570F3" w:rsidRPr="005570F3" w:rsidRDefault="005570F3" w:rsidP="0055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70F3">
              <w:rPr>
                <w:rFonts w:ascii="Calibri" w:eastAsia="Times New Roman" w:hAnsi="Calibri" w:cs="Calibri"/>
                <w:color w:val="000000"/>
                <w:lang w:eastAsia="pl-PL"/>
              </w:rPr>
              <w:t>1,46</w:t>
            </w:r>
          </w:p>
        </w:tc>
      </w:tr>
      <w:tr w:rsidR="005570F3" w:rsidRPr="005570F3" w14:paraId="5AA4E18A" w14:textId="77777777" w:rsidTr="005570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6BEA" w14:textId="77777777" w:rsidR="005570F3" w:rsidRPr="005570F3" w:rsidRDefault="005570F3" w:rsidP="00557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70F3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9F36" w14:textId="77777777" w:rsidR="005570F3" w:rsidRPr="005570F3" w:rsidRDefault="005570F3" w:rsidP="00557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70F3">
              <w:rPr>
                <w:rFonts w:ascii="Calibri" w:eastAsia="Times New Roman" w:hAnsi="Calibri" w:cs="Calibri"/>
                <w:color w:val="000000"/>
                <w:lang w:eastAsia="pl-PL"/>
              </w:rPr>
              <w:t>inne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C518" w14:textId="77777777" w:rsidR="005570F3" w:rsidRPr="005570F3" w:rsidRDefault="005570F3" w:rsidP="0055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70F3">
              <w:rPr>
                <w:rFonts w:ascii="Calibri" w:eastAsia="Times New Roman" w:hAnsi="Calibri" w:cs="Calibri"/>
                <w:color w:val="000000"/>
                <w:lang w:eastAsia="pl-PL"/>
              </w:rPr>
              <w:t>0,77</w:t>
            </w:r>
          </w:p>
        </w:tc>
      </w:tr>
      <w:tr w:rsidR="005570F3" w:rsidRPr="005570F3" w14:paraId="659CE4EC" w14:textId="77777777" w:rsidTr="005570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5157" w14:textId="77777777" w:rsidR="005570F3" w:rsidRPr="005570F3" w:rsidRDefault="005570F3" w:rsidP="005570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570F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20CA" w14:textId="77777777" w:rsidR="005570F3" w:rsidRPr="005570F3" w:rsidRDefault="005570F3" w:rsidP="005570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570F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C957" w14:textId="77777777" w:rsidR="005570F3" w:rsidRPr="005570F3" w:rsidRDefault="005570F3" w:rsidP="0055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570F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100</w:t>
            </w:r>
          </w:p>
        </w:tc>
      </w:tr>
    </w:tbl>
    <w:p w14:paraId="7DD0066D" w14:textId="4F07152A" w:rsidR="005570F3" w:rsidRDefault="005570F3" w:rsidP="005570F3">
      <w:pPr>
        <w:ind w:left="360"/>
      </w:pPr>
    </w:p>
    <w:p w14:paraId="5DC3C785" w14:textId="59BCDF40" w:rsidR="005570F3" w:rsidRDefault="005570F3" w:rsidP="005570F3">
      <w:pPr>
        <w:pStyle w:val="Akapitzlist"/>
        <w:numPr>
          <w:ilvl w:val="0"/>
          <w:numId w:val="1"/>
        </w:numPr>
      </w:pPr>
      <w:r>
        <w:t>Wykres kołowy obrazujący graficznie strukturę paliw i innych nośników energii pierwotnej zużywanych do wytworzenia energii elektrycznej sprzedanej w 202</w:t>
      </w:r>
      <w:r w:rsidR="008C058C">
        <w:t>4</w:t>
      </w:r>
      <w:r>
        <w:t xml:space="preserve"> roku przez ENEA Trading Sp. z o.o.</w:t>
      </w:r>
    </w:p>
    <w:p w14:paraId="687D2BD4" w14:textId="2705F5D0" w:rsidR="005570F3" w:rsidRDefault="005570F3" w:rsidP="005570F3">
      <w:pPr>
        <w:pStyle w:val="Akapitzlist"/>
      </w:pPr>
    </w:p>
    <w:p w14:paraId="2AB3F565" w14:textId="3A38A355" w:rsidR="00771E11" w:rsidRDefault="0018704D" w:rsidP="005570F3">
      <w:pPr>
        <w:pStyle w:val="Akapitzlist"/>
      </w:pPr>
      <w:r>
        <w:rPr>
          <w:noProof/>
        </w:rPr>
        <w:drawing>
          <wp:inline distT="0" distB="0" distL="0" distR="0" wp14:anchorId="29DEC960" wp14:editId="4A882A4C">
            <wp:extent cx="5362575" cy="3914775"/>
            <wp:effectExtent l="0" t="0" r="0" b="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FC97C6F" w14:textId="1FB79BCC" w:rsidR="008C058C" w:rsidRDefault="008C058C" w:rsidP="005570F3">
      <w:pPr>
        <w:pStyle w:val="Akapitzlist"/>
      </w:pPr>
    </w:p>
    <w:p w14:paraId="581943BF" w14:textId="77777777" w:rsidR="008C058C" w:rsidRDefault="008C058C" w:rsidP="0018704D"/>
    <w:p w14:paraId="02912EC1" w14:textId="16BB45EF" w:rsidR="008C058C" w:rsidRDefault="008C058C" w:rsidP="005570F3">
      <w:pPr>
        <w:pStyle w:val="Akapitzlist"/>
      </w:pPr>
    </w:p>
    <w:p w14:paraId="29768E8F" w14:textId="30E8EEB9" w:rsidR="008C058C" w:rsidRDefault="008C058C" w:rsidP="008C058C">
      <w:pPr>
        <w:pStyle w:val="Akapitzlist"/>
        <w:numPr>
          <w:ilvl w:val="0"/>
          <w:numId w:val="1"/>
        </w:numPr>
      </w:pPr>
      <w:r>
        <w:t>Informacje o wpływie wytworzenia energii elektrycznej na środowisko w zakresie wielkości emisji dla poszczególnych paliw i innych nośników energii pierwotnej zużywanych do wytwarzania energii elektrycznej sprzedanej przez ENEA Trading Sp. z o.o. w 2024 r.</w:t>
      </w:r>
    </w:p>
    <w:tbl>
      <w:tblPr>
        <w:tblpPr w:leftFromText="141" w:rightFromText="141" w:vertAnchor="text" w:horzAnchor="margin" w:tblpXSpec="right" w:tblpY="275"/>
        <w:tblW w:w="8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1200"/>
        <w:gridCol w:w="1480"/>
        <w:gridCol w:w="1320"/>
        <w:gridCol w:w="1360"/>
      </w:tblGrid>
      <w:tr w:rsidR="00E33A35" w:rsidRPr="00E33A35" w14:paraId="0822A99C" w14:textId="77777777" w:rsidTr="00E33A35">
        <w:trPr>
          <w:trHeight w:val="255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30170" w14:textId="77777777" w:rsidR="00E33A35" w:rsidRPr="00E33A35" w:rsidRDefault="00E33A35" w:rsidP="00E33A3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3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rodzaj paliwa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EBF8" w14:textId="77777777" w:rsidR="00E33A35" w:rsidRPr="00E33A35" w:rsidRDefault="00E33A35" w:rsidP="00E33A3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3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CO2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7177" w14:textId="77777777" w:rsidR="00E33A35" w:rsidRPr="00E33A35" w:rsidRDefault="00E33A35" w:rsidP="00E33A3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3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SO2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E368" w14:textId="77777777" w:rsidR="00E33A35" w:rsidRPr="00E33A35" w:rsidRDefault="00E33A35" w:rsidP="00E33A3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E33A3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Nox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9CEC50" w14:textId="77777777" w:rsidR="00E33A35" w:rsidRPr="00E33A35" w:rsidRDefault="00E33A35" w:rsidP="00E33A3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3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Pyły</w:t>
            </w:r>
          </w:p>
        </w:tc>
      </w:tr>
      <w:tr w:rsidR="00E33A35" w:rsidRPr="00E33A35" w14:paraId="32EE056B" w14:textId="77777777" w:rsidTr="00E33A35">
        <w:trPr>
          <w:trHeight w:val="255"/>
        </w:trPr>
        <w:tc>
          <w:tcPr>
            <w:tcW w:w="2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4D1728E" w14:textId="77777777" w:rsidR="00E33A35" w:rsidRPr="00E33A35" w:rsidRDefault="00E33A35" w:rsidP="00E33A3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3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węgiel kamienny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22483DB" w14:textId="77777777" w:rsidR="00E33A35" w:rsidRPr="00E33A35" w:rsidRDefault="00E33A35" w:rsidP="00E33A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3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0,85298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DE35355" w14:textId="77777777" w:rsidR="00E33A35" w:rsidRPr="00E33A35" w:rsidRDefault="00E33A35" w:rsidP="00E33A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3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0,00050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500B781" w14:textId="77777777" w:rsidR="00E33A35" w:rsidRPr="00E33A35" w:rsidRDefault="00E33A35" w:rsidP="00E33A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3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0,00053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078C7841" w14:textId="77777777" w:rsidR="00E33A35" w:rsidRPr="00E33A35" w:rsidRDefault="00E33A35" w:rsidP="00E33A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3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0,00004</w:t>
            </w:r>
          </w:p>
        </w:tc>
      </w:tr>
      <w:tr w:rsidR="00E33A35" w:rsidRPr="00E33A35" w14:paraId="0A6ED3ED" w14:textId="77777777" w:rsidTr="00E33A35">
        <w:trPr>
          <w:trHeight w:val="255"/>
        </w:trPr>
        <w:tc>
          <w:tcPr>
            <w:tcW w:w="2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52AF5D" w14:textId="77777777" w:rsidR="00E33A35" w:rsidRPr="00E33A35" w:rsidRDefault="00E33A35" w:rsidP="00E33A3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3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węgiel brunatny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1E664B" w14:textId="77777777" w:rsidR="00E33A35" w:rsidRPr="00E33A35" w:rsidRDefault="00E33A35" w:rsidP="00E33A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3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1,05608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47071D" w14:textId="77777777" w:rsidR="00E33A35" w:rsidRPr="00E33A35" w:rsidRDefault="00E33A35" w:rsidP="00E33A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3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0,00052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E8C266" w14:textId="77777777" w:rsidR="00E33A35" w:rsidRPr="00E33A35" w:rsidRDefault="00E33A35" w:rsidP="00E33A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3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0,00073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B7674E1" w14:textId="77777777" w:rsidR="00E33A35" w:rsidRPr="00E33A35" w:rsidRDefault="00E33A35" w:rsidP="00E33A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3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0,00002</w:t>
            </w:r>
          </w:p>
        </w:tc>
      </w:tr>
      <w:tr w:rsidR="00E33A35" w:rsidRPr="00E33A35" w14:paraId="21E30242" w14:textId="77777777" w:rsidTr="00E33A35">
        <w:trPr>
          <w:trHeight w:val="255"/>
        </w:trPr>
        <w:tc>
          <w:tcPr>
            <w:tcW w:w="2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C4EC0F" w14:textId="77777777" w:rsidR="00E33A35" w:rsidRPr="00E33A35" w:rsidRDefault="00E33A35" w:rsidP="00E33A3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3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gaz ziemny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A0E7CC" w14:textId="77777777" w:rsidR="00E33A35" w:rsidRPr="00E33A35" w:rsidRDefault="00E33A35" w:rsidP="00E33A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3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0,26962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E9499C" w14:textId="77777777" w:rsidR="00E33A35" w:rsidRPr="00E33A35" w:rsidRDefault="00E33A35" w:rsidP="00E33A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3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B9D0F9" w14:textId="77777777" w:rsidR="00E33A35" w:rsidRPr="00E33A35" w:rsidRDefault="00E33A35" w:rsidP="00E33A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3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B929821" w14:textId="77777777" w:rsidR="00E33A35" w:rsidRPr="00E33A35" w:rsidRDefault="00E33A35" w:rsidP="00E33A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3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0,00001</w:t>
            </w:r>
          </w:p>
        </w:tc>
      </w:tr>
      <w:tr w:rsidR="00E33A35" w:rsidRPr="00E33A35" w14:paraId="30D14E99" w14:textId="77777777" w:rsidTr="00E33A35">
        <w:trPr>
          <w:trHeight w:val="270"/>
        </w:trPr>
        <w:tc>
          <w:tcPr>
            <w:tcW w:w="28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99CC00"/>
            <w:noWrap/>
            <w:vAlign w:val="bottom"/>
            <w:hideMark/>
          </w:tcPr>
          <w:p w14:paraId="1CDA5068" w14:textId="77777777" w:rsidR="00E33A35" w:rsidRPr="00E33A35" w:rsidRDefault="00E33A35" w:rsidP="00E33A3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3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14:paraId="7E4B629F" w14:textId="77777777" w:rsidR="00E33A35" w:rsidRPr="00E33A35" w:rsidRDefault="00E33A35" w:rsidP="00E33A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3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0,25136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14:paraId="2D135A7C" w14:textId="77777777" w:rsidR="00E33A35" w:rsidRPr="00E33A35" w:rsidRDefault="00E33A35" w:rsidP="00E33A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3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0,00052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14:paraId="5A83101A" w14:textId="77777777" w:rsidR="00E33A35" w:rsidRPr="00E33A35" w:rsidRDefault="00E33A35" w:rsidP="00E33A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3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0,00056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00"/>
            <w:noWrap/>
            <w:vAlign w:val="bottom"/>
            <w:hideMark/>
          </w:tcPr>
          <w:p w14:paraId="710D931A" w14:textId="77777777" w:rsidR="00E33A35" w:rsidRPr="00E33A35" w:rsidRDefault="00E33A35" w:rsidP="00E33A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3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0,00003</w:t>
            </w:r>
          </w:p>
        </w:tc>
      </w:tr>
      <w:tr w:rsidR="00E33A35" w:rsidRPr="00E33A35" w14:paraId="614A2B61" w14:textId="77777777" w:rsidTr="00E33A35">
        <w:trPr>
          <w:trHeight w:val="375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8C10AB0" w14:textId="77777777" w:rsidR="00E33A35" w:rsidRPr="00E33A35" w:rsidRDefault="00E33A35" w:rsidP="00E33A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E33A35">
              <w:rPr>
                <w:rFonts w:ascii="Arial CE" w:eastAsia="Times New Roman" w:hAnsi="Arial CE" w:cs="Arial CE"/>
                <w:b/>
                <w:bCs/>
                <w:color w:val="FF0000"/>
                <w:sz w:val="28"/>
                <w:szCs w:val="28"/>
                <w:lang w:eastAsia="pl-PL"/>
              </w:rPr>
              <w:t>Ogółem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0C3EA3D" w14:textId="77777777" w:rsidR="00E33A35" w:rsidRPr="00E33A35" w:rsidRDefault="00E33A35" w:rsidP="00E33A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E33A35">
              <w:rPr>
                <w:rFonts w:ascii="Arial CE" w:eastAsia="Times New Roman" w:hAnsi="Arial CE" w:cs="Arial CE"/>
                <w:b/>
                <w:bCs/>
                <w:color w:val="FF0000"/>
                <w:sz w:val="28"/>
                <w:szCs w:val="28"/>
                <w:lang w:eastAsia="pl-PL"/>
              </w:rPr>
              <w:t>0,77527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6FDFA02" w14:textId="77777777" w:rsidR="00E33A35" w:rsidRPr="00E33A35" w:rsidRDefault="00E33A35" w:rsidP="00E33A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E33A35">
              <w:rPr>
                <w:rFonts w:ascii="Arial CE" w:eastAsia="Times New Roman" w:hAnsi="Arial CE" w:cs="Arial CE"/>
                <w:b/>
                <w:bCs/>
                <w:color w:val="FF0000"/>
                <w:sz w:val="28"/>
                <w:szCs w:val="28"/>
                <w:lang w:eastAsia="pl-PL"/>
              </w:rPr>
              <w:t>0,00050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86CDC04" w14:textId="77777777" w:rsidR="00E33A35" w:rsidRPr="00E33A35" w:rsidRDefault="00E33A35" w:rsidP="00E33A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E33A35">
              <w:rPr>
                <w:rFonts w:ascii="Arial CE" w:eastAsia="Times New Roman" w:hAnsi="Arial CE" w:cs="Arial CE"/>
                <w:b/>
                <w:bCs/>
                <w:color w:val="FF0000"/>
                <w:sz w:val="28"/>
                <w:szCs w:val="28"/>
                <w:lang w:eastAsia="pl-PL"/>
              </w:rPr>
              <w:t>0,00053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341759E" w14:textId="77777777" w:rsidR="00E33A35" w:rsidRPr="00E33A35" w:rsidRDefault="00E33A35" w:rsidP="00E33A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E33A35">
              <w:rPr>
                <w:rFonts w:ascii="Arial CE" w:eastAsia="Times New Roman" w:hAnsi="Arial CE" w:cs="Arial CE"/>
                <w:b/>
                <w:bCs/>
                <w:color w:val="FF0000"/>
                <w:sz w:val="28"/>
                <w:szCs w:val="28"/>
                <w:lang w:eastAsia="pl-PL"/>
              </w:rPr>
              <w:t>0,00004</w:t>
            </w:r>
          </w:p>
        </w:tc>
      </w:tr>
    </w:tbl>
    <w:p w14:paraId="0DA1DF31" w14:textId="0928024D" w:rsidR="008C058C" w:rsidRDefault="008C058C" w:rsidP="008C058C">
      <w:pPr>
        <w:pStyle w:val="Akapitzlist"/>
      </w:pPr>
    </w:p>
    <w:p w14:paraId="5EECEADC" w14:textId="41FADE2D" w:rsidR="009B3514" w:rsidRDefault="009B3514" w:rsidP="008C058C">
      <w:pPr>
        <w:pStyle w:val="Akapitzlist"/>
      </w:pPr>
    </w:p>
    <w:p w14:paraId="502A3F89" w14:textId="7FD446C7" w:rsidR="009B3514" w:rsidRDefault="009B3514" w:rsidP="008C058C">
      <w:pPr>
        <w:pStyle w:val="Akapitzlist"/>
      </w:pPr>
    </w:p>
    <w:p w14:paraId="0DAC4299" w14:textId="24839644" w:rsidR="009B3514" w:rsidRDefault="009B3514" w:rsidP="008C058C">
      <w:pPr>
        <w:pStyle w:val="Akapitzlist"/>
      </w:pPr>
    </w:p>
    <w:p w14:paraId="67286865" w14:textId="1439E5A7" w:rsidR="009B3514" w:rsidRDefault="009B3514" w:rsidP="008C058C">
      <w:pPr>
        <w:pStyle w:val="Akapitzlist"/>
      </w:pPr>
    </w:p>
    <w:p w14:paraId="2BB1D208" w14:textId="75E16989" w:rsidR="009E4210" w:rsidRDefault="009B3514" w:rsidP="008C058C">
      <w:pPr>
        <w:pStyle w:val="Akapitzlist"/>
      </w:pPr>
      <w:r>
        <w:t xml:space="preserve">Powyższe informacje zostały opracowane na podstawie danych otrzymanych od kontrahentów ENEA Trading Sp. z o.o., danych statystycznych opublikowanych przez Główny Urząd Statystyczny oraz danych dotyczących emisyjności opublikowanych przez Agencję Rynku Energii S.A. </w:t>
      </w:r>
    </w:p>
    <w:p w14:paraId="639A9FA2" w14:textId="77777777" w:rsidR="009E4210" w:rsidRDefault="009E4210" w:rsidP="008C058C">
      <w:pPr>
        <w:pStyle w:val="Akapitzlist"/>
      </w:pPr>
    </w:p>
    <w:p w14:paraId="0C2BEDEB" w14:textId="3E8D0C7D" w:rsidR="009B3514" w:rsidRDefault="009B3514" w:rsidP="008C058C">
      <w:pPr>
        <w:pStyle w:val="Akapitzlist"/>
      </w:pPr>
      <w:r>
        <w:t>Poznań, dnia 2</w:t>
      </w:r>
      <w:r w:rsidR="00E33A35">
        <w:t>7</w:t>
      </w:r>
      <w:r>
        <w:t>.03.202</w:t>
      </w:r>
      <w:r w:rsidR="009E4210">
        <w:t>5</w:t>
      </w:r>
      <w:r>
        <w:t xml:space="preserve"> r.</w:t>
      </w:r>
    </w:p>
    <w:sectPr w:rsidR="009B3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C7691"/>
    <w:multiLevelType w:val="hybridMultilevel"/>
    <w:tmpl w:val="758AC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28"/>
    <w:rsid w:val="0018704D"/>
    <w:rsid w:val="00494F5B"/>
    <w:rsid w:val="005570F3"/>
    <w:rsid w:val="00771E11"/>
    <w:rsid w:val="008C058C"/>
    <w:rsid w:val="009B3514"/>
    <w:rsid w:val="009E4210"/>
    <w:rsid w:val="00A41428"/>
    <w:rsid w:val="00C22F39"/>
    <w:rsid w:val="00E33A35"/>
    <w:rsid w:val="00EE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C6AF2"/>
  <w15:chartTrackingRefBased/>
  <w15:docId w15:val="{FB09EFAD-8005-4C36-B0F2-02350628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7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159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564814814814814E-2"/>
          <c:y val="0.19372484689413827"/>
          <c:w val="0.82407407407407407"/>
          <c:h val="0.56429540057492811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Udział procentowy [%]</c:v>
                </c:pt>
              </c:strCache>
            </c:strRef>
          </c:tx>
          <c:spPr>
            <a:effectLst>
              <a:outerShdw blurRad="76200" dist="12700" dir="8100000" sx="159000" sy="159000" kx="800400" algn="br" rotWithShape="0">
                <a:schemeClr val="tx1">
                  <a:alpha val="20000"/>
                </a:schemeClr>
              </a:outerShdw>
            </a:effectLst>
          </c:spPr>
          <c:explosion val="15"/>
          <c:dPt>
            <c:idx val="0"/>
            <c:bubble3D val="0"/>
            <c:spPr>
              <a:solidFill>
                <a:schemeClr val="accent6"/>
              </a:solidFill>
              <a:ln w="25400">
                <a:noFill/>
              </a:ln>
              <a:effectLst>
                <a:outerShdw blurRad="76200" dist="12700" dir="8100000" sx="159000" sy="159000" kx="800400" algn="br" rotWithShape="0">
                  <a:schemeClr val="tx1">
                    <a:alpha val="20000"/>
                  </a:scheme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EDB1-4537-9D85-E0E7A037C673}"/>
              </c:ext>
            </c:extLst>
          </c:dPt>
          <c:dPt>
            <c:idx val="1"/>
            <c:bubble3D val="0"/>
            <c:spPr>
              <a:solidFill>
                <a:schemeClr val="accent1"/>
              </a:solidFill>
              <a:ln w="25400">
                <a:noFill/>
              </a:ln>
              <a:effectLst>
                <a:outerShdw blurRad="76200" dist="12700" dir="8100000" sx="159000" sy="159000" kx="800400" algn="br" rotWithShape="0">
                  <a:schemeClr val="tx1">
                    <a:alpha val="20000"/>
                  </a:scheme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EDB1-4537-9D85-E0E7A037C673}"/>
              </c:ext>
            </c:extLst>
          </c:dPt>
          <c:dPt>
            <c:idx val="2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noFill/>
              </a:ln>
              <a:effectLst>
                <a:outerShdw blurRad="76200" dist="12700" dir="8100000" sx="159000" sy="159000" kx="800400" algn="br" rotWithShape="0">
                  <a:schemeClr val="tx1">
                    <a:alpha val="20000"/>
                  </a:scheme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EDB1-4537-9D85-E0E7A037C673}"/>
              </c:ext>
            </c:extLst>
          </c:dPt>
          <c:dPt>
            <c:idx val="3"/>
            <c:bubble3D val="0"/>
            <c:spPr>
              <a:solidFill>
                <a:srgbClr val="C18593"/>
              </a:solidFill>
              <a:ln w="25400">
                <a:noFill/>
              </a:ln>
              <a:effectLst>
                <a:outerShdw blurRad="76200" dist="12700" dir="8100000" sx="159000" sy="159000" kx="800400" algn="br" rotWithShape="0">
                  <a:schemeClr val="tx1">
                    <a:alpha val="20000"/>
                  </a:scheme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EDB1-4537-9D85-E0E7A037C673}"/>
              </c:ext>
            </c:extLst>
          </c:dPt>
          <c:dPt>
            <c:idx val="4"/>
            <c:bubble3D val="0"/>
            <c:explosion val="9"/>
            <c:spPr>
              <a:solidFill>
                <a:schemeClr val="bg2">
                  <a:lumMod val="25000"/>
                </a:schemeClr>
              </a:solidFill>
              <a:ln w="12700">
                <a:noFill/>
              </a:ln>
              <a:effectLst>
                <a:outerShdw blurRad="76200" dist="12700" dir="8100000" sx="159000" sy="159000" kx="800400" algn="br" rotWithShape="0">
                  <a:schemeClr val="tx1">
                    <a:alpha val="20000"/>
                  </a:scheme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EDB1-4537-9D85-E0E7A037C673}"/>
              </c:ext>
            </c:extLst>
          </c:dPt>
          <c:dPt>
            <c:idx val="5"/>
            <c:bubble3D val="0"/>
            <c:spPr>
              <a:solidFill>
                <a:schemeClr val="accent2"/>
              </a:solidFill>
              <a:ln w="25400">
                <a:noFill/>
              </a:ln>
              <a:effectLst>
                <a:outerShdw blurRad="76200" dist="12700" dir="8100000" sx="159000" sy="159000" kx="800400" algn="br" rotWithShape="0">
                  <a:schemeClr val="tx1">
                    <a:alpha val="20000"/>
                  </a:scheme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EDB1-4537-9D85-E0E7A037C673}"/>
              </c:ext>
            </c:extLst>
          </c:dPt>
          <c:dPt>
            <c:idx val="6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 w="25400">
                <a:noFill/>
              </a:ln>
              <a:effectLst>
                <a:outerShdw blurRad="76200" dist="12700" dir="8100000" sx="159000" sy="159000" kx="800400" algn="br" rotWithShape="0">
                  <a:schemeClr val="tx1">
                    <a:alpha val="20000"/>
                  </a:scheme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EDB1-4537-9D85-E0E7A037C673}"/>
              </c:ext>
            </c:extLst>
          </c:dPt>
          <c:dPt>
            <c:idx val="7"/>
            <c:bubble3D val="0"/>
            <c:spPr>
              <a:solidFill>
                <a:srgbClr val="9A57CD"/>
              </a:solidFill>
              <a:ln w="25400">
                <a:noFill/>
              </a:ln>
              <a:effectLst>
                <a:outerShdw blurRad="76200" dist="12700" dir="8100000" sx="159000" sy="159000" kx="800400" algn="br" rotWithShape="0">
                  <a:schemeClr val="tx1">
                    <a:alpha val="20000"/>
                  </a:scheme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EDB1-4537-9D85-E0E7A037C673}"/>
              </c:ext>
            </c:extLst>
          </c:dPt>
          <c:dLbls>
            <c:dLbl>
              <c:idx val="1"/>
              <c:layout>
                <c:manualLayout>
                  <c:x val="3.7037037037037035E-2"/>
                  <c:y val="1.19047619047617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DB1-4537-9D85-E0E7A037C673}"/>
                </c:ext>
              </c:extLst>
            </c:dLbl>
            <c:dLbl>
              <c:idx val="2"/>
              <c:layout>
                <c:manualLayout>
                  <c:x val="1.1574074074074073E-2"/>
                  <c:y val="-3.96825396825396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DB1-4537-9D85-E0E7A037C673}"/>
                </c:ext>
              </c:extLst>
            </c:dLbl>
            <c:dLbl>
              <c:idx val="3"/>
              <c:layout>
                <c:manualLayout>
                  <c:x val="-1.1574074074074073E-2"/>
                  <c:y val="-2.777777777777777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DB1-4537-9D85-E0E7A037C673}"/>
                </c:ext>
              </c:extLst>
            </c:dLbl>
            <c:dLbl>
              <c:idx val="5"/>
              <c:layout>
                <c:manualLayout>
                  <c:x val="1.3888888888888805E-2"/>
                  <c:y val="-2.777777777777792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DB1-4537-9D85-E0E7A037C673}"/>
                </c:ext>
              </c:extLst>
            </c:dLbl>
            <c:dLbl>
              <c:idx val="6"/>
              <c:layout>
                <c:manualLayout>
                  <c:x val="-6.9444444444445291E-3"/>
                  <c:y val="-1.587301587301587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DB1-4537-9D85-E0E7A037C673}"/>
                </c:ext>
              </c:extLst>
            </c:dLbl>
            <c:dLbl>
              <c:idx val="7"/>
              <c:layout>
                <c:manualLayout>
                  <c:x val="-3.2407407407407322E-2"/>
                  <c:y val="3.9682539682538232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EDB1-4537-9D85-E0E7A037C67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Arkusz1!$A$3:$A$10</c:f>
              <c:strCache>
                <c:ptCount val="8"/>
                <c:pt idx="0">
                  <c:v>Biomasa i biogaz</c:v>
                </c:pt>
                <c:pt idx="1">
                  <c:v>Energetyka wodna</c:v>
                </c:pt>
                <c:pt idx="2">
                  <c:v>Energetyka wiatrowa</c:v>
                </c:pt>
                <c:pt idx="3">
                  <c:v>Ogniwa fotowoltaiczne</c:v>
                </c:pt>
                <c:pt idx="4">
                  <c:v>Węgiel kamienny</c:v>
                </c:pt>
                <c:pt idx="5">
                  <c:v>Węgiel brunatny</c:v>
                </c:pt>
                <c:pt idx="6">
                  <c:v>Paliwa gazowe</c:v>
                </c:pt>
                <c:pt idx="7">
                  <c:v>Inne</c:v>
                </c:pt>
              </c:strCache>
            </c:strRef>
          </c:cat>
          <c:val>
            <c:numRef>
              <c:f>Arkusz1!$B$3:$B$10</c:f>
              <c:numCache>
                <c:formatCode>0.00%</c:formatCode>
                <c:ptCount val="8"/>
                <c:pt idx="0">
                  <c:v>8.4900000000000003E-2</c:v>
                </c:pt>
                <c:pt idx="1">
                  <c:v>2.0999999999999999E-3</c:v>
                </c:pt>
                <c:pt idx="2">
                  <c:v>2.06E-2</c:v>
                </c:pt>
                <c:pt idx="3">
                  <c:v>1.01E-2</c:v>
                </c:pt>
                <c:pt idx="4">
                  <c:v>0.82920000000000005</c:v>
                </c:pt>
                <c:pt idx="5">
                  <c:v>3.0800000000000001E-2</c:v>
                </c:pt>
                <c:pt idx="6">
                  <c:v>1.46E-2</c:v>
                </c:pt>
                <c:pt idx="7">
                  <c:v>7.7000000000000002E-3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EDB1-4537-9D85-E0E7A037C673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>
          <a:glow rad="63500">
            <a:schemeClr val="accent3">
              <a:satMod val="175000"/>
              <a:alpha val="40000"/>
            </a:schemeClr>
          </a:glow>
        </a:effectLst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Szewczyk Anna</dc:creator>
  <cp:keywords/>
  <dc:description/>
  <cp:lastModifiedBy>Baron Karolina</cp:lastModifiedBy>
  <cp:revision>2</cp:revision>
  <dcterms:created xsi:type="dcterms:W3CDTF">2025-03-28T13:31:00Z</dcterms:created>
  <dcterms:modified xsi:type="dcterms:W3CDTF">2025-03-28T13:31:00Z</dcterms:modified>
</cp:coreProperties>
</file>